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ОБЩАЯ ИНФОРМАЦИЯ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для участников</w:t>
      </w:r>
      <w:r>
        <w:rPr>
          <w:rFonts w:ascii="Times New Roman" w:hAnsi="Times New Roman"/>
          <w:b w:val="1"/>
          <w:sz w:val="27"/>
        </w:rPr>
        <w:t xml:space="preserve"> второй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Международной парламентской конференции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 xml:space="preserve"> «Россия – Африка»</w:t>
      </w:r>
    </w:p>
    <w:p w14:paraId="06000000">
      <w:pPr>
        <w:spacing w:after="0"/>
        <w:ind/>
        <w:jc w:val="center"/>
        <w:rPr>
          <w:rFonts w:ascii="Times New Roman" w:hAnsi="Times New Roman"/>
          <w:i w:val="1"/>
          <w:sz w:val="27"/>
        </w:rPr>
      </w:pPr>
      <w:r>
        <w:rPr>
          <w:rFonts w:ascii="Times New Roman" w:hAnsi="Times New Roman"/>
          <w:i w:val="1"/>
          <w:sz w:val="27"/>
        </w:rPr>
        <w:t xml:space="preserve">(Москва, </w:t>
      </w:r>
      <w:r>
        <w:rPr>
          <w:rFonts w:ascii="Times New Roman" w:hAnsi="Times New Roman"/>
          <w:i w:val="1"/>
          <w:sz w:val="27"/>
        </w:rPr>
        <w:t>19-20 марта 2023</w:t>
      </w:r>
      <w:r>
        <w:rPr>
          <w:rFonts w:ascii="Times New Roman" w:hAnsi="Times New Roman"/>
          <w:i w:val="1"/>
          <w:sz w:val="27"/>
        </w:rPr>
        <w:t xml:space="preserve"> года)</w:t>
      </w: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7"/>
        </w:rPr>
      </w:pPr>
    </w:p>
    <w:p w14:paraId="08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>Место проведения</w:t>
      </w:r>
      <w:r>
        <w:rPr>
          <w:rFonts w:ascii="Times New Roman" w:hAnsi="Times New Roman"/>
          <w:sz w:val="27"/>
        </w:rPr>
        <w:t xml:space="preserve">: </w:t>
      </w:r>
      <w:r>
        <w:rPr>
          <w:rFonts w:ascii="Times New Roman" w:hAnsi="Times New Roman"/>
          <w:sz w:val="27"/>
        </w:rPr>
        <w:t>г</w:t>
      </w:r>
      <w:r>
        <w:rPr>
          <w:rFonts w:ascii="Times New Roman" w:hAnsi="Times New Roman"/>
          <w:sz w:val="27"/>
        </w:rPr>
        <w:t>.М</w:t>
      </w:r>
      <w:r>
        <w:rPr>
          <w:rFonts w:ascii="Times New Roman" w:hAnsi="Times New Roman"/>
          <w:sz w:val="27"/>
        </w:rPr>
        <w:t>осква</w:t>
      </w:r>
      <w:r>
        <w:rPr>
          <w:rFonts w:ascii="Times New Roman" w:hAnsi="Times New Roman"/>
          <w:sz w:val="27"/>
        </w:rPr>
        <w:t xml:space="preserve">, </w:t>
      </w:r>
      <w:r>
        <w:rPr>
          <w:rFonts w:ascii="Times New Roman" w:hAnsi="Times New Roman"/>
          <w:sz w:val="27"/>
        </w:rPr>
        <w:t>ул.Боль</w:t>
      </w:r>
      <w:r>
        <w:rPr>
          <w:rFonts w:ascii="Times New Roman" w:hAnsi="Times New Roman"/>
          <w:sz w:val="27"/>
        </w:rPr>
        <w:t>шая</w:t>
      </w:r>
      <w:r>
        <w:rPr>
          <w:rFonts w:ascii="Times New Roman" w:hAnsi="Times New Roman"/>
          <w:sz w:val="27"/>
        </w:rPr>
        <w:t xml:space="preserve"> Дмитровка, д.1, Дом союзов</w:t>
      </w:r>
    </w:p>
    <w:p w14:paraId="09000000">
      <w:pPr>
        <w:spacing w:after="0"/>
        <w:ind w:firstLine="709" w:left="0"/>
        <w:jc w:val="both"/>
        <w:rPr>
          <w:rFonts w:ascii="Times New Roman" w:hAnsi="Times New Roman"/>
          <w:i w:val="1"/>
          <w:color w:val="000000"/>
          <w:sz w:val="27"/>
        </w:rPr>
      </w:pPr>
    </w:p>
    <w:p w14:paraId="0A000000">
      <w:pPr>
        <w:spacing w:after="0"/>
        <w:ind w:firstLine="709" w:left="0"/>
        <w:jc w:val="both"/>
        <w:rPr>
          <w:rFonts w:ascii="Times New Roman" w:hAnsi="Times New Roman"/>
          <w:i w:val="1"/>
          <w:color w:val="000000"/>
          <w:sz w:val="27"/>
        </w:rPr>
      </w:pPr>
      <w:r>
        <w:rPr>
          <w:rFonts w:ascii="Times New Roman" w:hAnsi="Times New Roman"/>
          <w:b w:val="1"/>
          <w:color w:val="000000"/>
          <w:sz w:val="27"/>
        </w:rPr>
        <w:t xml:space="preserve">Тема конференции: </w:t>
      </w:r>
      <w:r>
        <w:rPr>
          <w:rFonts w:ascii="Times New Roman" w:hAnsi="Times New Roman"/>
          <w:sz w:val="28"/>
        </w:rPr>
        <w:t>«Россия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Африка в многополярном мире»</w:t>
      </w:r>
    </w:p>
    <w:p w14:paraId="0B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>Состав участников:</w:t>
      </w:r>
      <w:r>
        <w:rPr>
          <w:rFonts w:ascii="Times New Roman" w:hAnsi="Times New Roman"/>
          <w:sz w:val="27"/>
        </w:rPr>
        <w:t xml:space="preserve"> для участия приглашены парламентарии и ведущие эксперты </w:t>
      </w:r>
      <w:r>
        <w:rPr>
          <w:rFonts w:ascii="Times New Roman" w:hAnsi="Times New Roman"/>
          <w:sz w:val="27"/>
        </w:rPr>
        <w:t>из</w:t>
      </w:r>
      <w:r>
        <w:rPr>
          <w:rFonts w:ascii="Times New Roman" w:hAnsi="Times New Roman"/>
          <w:sz w:val="27"/>
        </w:rPr>
        <w:t xml:space="preserve"> более </w:t>
      </w:r>
      <w:r>
        <w:rPr>
          <w:rFonts w:ascii="Times New Roman" w:hAnsi="Times New Roman"/>
          <w:sz w:val="27"/>
        </w:rPr>
        <w:t>чем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50</w:t>
      </w:r>
      <w:r>
        <w:rPr>
          <w:rFonts w:ascii="Times New Roman" w:hAnsi="Times New Roman"/>
          <w:sz w:val="27"/>
        </w:rPr>
        <w:t xml:space="preserve"> стран </w:t>
      </w:r>
      <w:r>
        <w:rPr>
          <w:rFonts w:ascii="Times New Roman" w:hAnsi="Times New Roman"/>
          <w:sz w:val="27"/>
        </w:rPr>
        <w:t>Африки</w:t>
      </w:r>
      <w:r>
        <w:rPr>
          <w:rFonts w:ascii="Times New Roman" w:hAnsi="Times New Roman"/>
          <w:sz w:val="27"/>
        </w:rPr>
        <w:t xml:space="preserve"> и ряда международных парламентских организаций. </w:t>
      </w:r>
    </w:p>
    <w:p w14:paraId="0C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</w:p>
    <w:p w14:paraId="0D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>Общая п</w:t>
      </w:r>
      <w:r>
        <w:rPr>
          <w:rFonts w:ascii="Times New Roman" w:hAnsi="Times New Roman"/>
          <w:b w:val="1"/>
          <w:sz w:val="27"/>
        </w:rPr>
        <w:t xml:space="preserve">рограмма </w:t>
      </w:r>
      <w:r>
        <w:rPr>
          <w:rFonts w:ascii="Times New Roman" w:hAnsi="Times New Roman"/>
          <w:b w:val="1"/>
          <w:sz w:val="27"/>
        </w:rPr>
        <w:t xml:space="preserve">Форума </w:t>
      </w:r>
      <w:r>
        <w:rPr>
          <w:rFonts w:ascii="Times New Roman" w:hAnsi="Times New Roman"/>
          <w:sz w:val="27"/>
        </w:rPr>
        <w:t xml:space="preserve">рассчитана на </w:t>
      </w:r>
      <w:r>
        <w:rPr>
          <w:rFonts w:ascii="Times New Roman" w:hAnsi="Times New Roman"/>
          <w:b w:val="1"/>
          <w:sz w:val="27"/>
        </w:rPr>
        <w:t>4</w:t>
      </w:r>
      <w:r>
        <w:rPr>
          <w:rFonts w:ascii="Times New Roman" w:hAnsi="Times New Roman"/>
          <w:b w:val="1"/>
          <w:sz w:val="27"/>
        </w:rPr>
        <w:t xml:space="preserve"> дня</w:t>
      </w:r>
      <w:r>
        <w:rPr>
          <w:rFonts w:ascii="Times New Roman" w:hAnsi="Times New Roman"/>
          <w:b w:val="1"/>
          <w:sz w:val="27"/>
        </w:rPr>
        <w:t xml:space="preserve"> (</w:t>
      </w:r>
      <w:r>
        <w:rPr>
          <w:rFonts w:ascii="Times New Roman" w:hAnsi="Times New Roman"/>
          <w:b w:val="1"/>
          <w:sz w:val="27"/>
        </w:rPr>
        <w:t>18 – 21 марта 2023</w:t>
      </w:r>
      <w:r>
        <w:rPr>
          <w:rFonts w:ascii="Times New Roman" w:hAnsi="Times New Roman"/>
          <w:b w:val="1"/>
          <w:sz w:val="27"/>
        </w:rPr>
        <w:t xml:space="preserve"> года)</w:t>
      </w:r>
      <w:r>
        <w:rPr>
          <w:rFonts w:ascii="Times New Roman" w:hAnsi="Times New Roman"/>
          <w:sz w:val="27"/>
        </w:rPr>
        <w:t xml:space="preserve">. </w:t>
      </w:r>
    </w:p>
    <w:p w14:paraId="0E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>18 марта</w:t>
      </w:r>
      <w:r>
        <w:rPr>
          <w:rFonts w:ascii="Times New Roman" w:hAnsi="Times New Roman"/>
          <w:b w:val="1"/>
          <w:sz w:val="27"/>
        </w:rPr>
        <w:t>:</w:t>
      </w:r>
      <w:r>
        <w:rPr>
          <w:rFonts w:ascii="Times New Roman" w:hAnsi="Times New Roman"/>
          <w:sz w:val="27"/>
        </w:rPr>
        <w:t xml:space="preserve"> прибытие участников, </w:t>
      </w:r>
      <w:r>
        <w:rPr>
          <w:rFonts w:ascii="Times New Roman" w:hAnsi="Times New Roman"/>
          <w:sz w:val="27"/>
        </w:rPr>
        <w:t>планируется культурная программа</w:t>
      </w:r>
      <w:r>
        <w:rPr>
          <w:rFonts w:ascii="Times New Roman" w:hAnsi="Times New Roman"/>
          <w:sz w:val="27"/>
        </w:rPr>
        <w:t>.</w:t>
      </w:r>
    </w:p>
    <w:p w14:paraId="0F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>19</w:t>
      </w:r>
      <w:r>
        <w:rPr>
          <w:rFonts w:ascii="Times New Roman" w:hAnsi="Times New Roman"/>
          <w:b w:val="1"/>
          <w:sz w:val="27"/>
        </w:rPr>
        <w:t> - 20</w:t>
      </w:r>
      <w:r>
        <w:rPr>
          <w:rFonts w:ascii="Times New Roman" w:hAnsi="Times New Roman"/>
          <w:b w:val="1"/>
          <w:sz w:val="27"/>
        </w:rPr>
        <w:t xml:space="preserve"> марта: </w:t>
      </w:r>
      <w:r>
        <w:rPr>
          <w:rFonts w:ascii="Times New Roman" w:hAnsi="Times New Roman"/>
          <w:sz w:val="27"/>
        </w:rPr>
        <w:t>проведение двусторонних встреч, бизнес-программа, культурная программа.</w:t>
      </w:r>
    </w:p>
    <w:p w14:paraId="10000000">
      <w:pPr>
        <w:spacing w:after="0"/>
        <w:ind w:firstLine="709" w:left="0"/>
        <w:jc w:val="both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sz w:val="27"/>
        </w:rPr>
        <w:t xml:space="preserve">Элементы культурной программы </w:t>
      </w:r>
      <w:r>
        <w:rPr>
          <w:rFonts w:ascii="Times New Roman" w:hAnsi="Times New Roman"/>
          <w:b w:val="1"/>
          <w:sz w:val="27"/>
        </w:rPr>
        <w:t>(на выбор, 1-2 варианта</w:t>
      </w:r>
      <w:r>
        <w:rPr>
          <w:rFonts w:ascii="Times New Roman" w:hAnsi="Times New Roman"/>
          <w:b w:val="1"/>
          <w:sz w:val="27"/>
        </w:rPr>
        <w:t>):</w:t>
      </w:r>
    </w:p>
    <w:p w14:paraId="11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</w:p>
    <w:tbl>
      <w:tblPr>
        <w:tblStyle w:val="Style_2"/>
        <w:tblInd w:type="dxa" w:w="108"/>
        <w:tblLayout w:type="fixed"/>
      </w:tblPr>
      <w:tblGrid>
        <w:gridCol w:w="327"/>
        <w:gridCol w:w="9312"/>
      </w:tblGrid>
      <w:tr>
        <w:tc>
          <w:tcPr>
            <w:tcW w:type="dxa" w:w="327"/>
          </w:tcPr>
          <w:p w14:paraId="12000000">
            <w:pPr>
              <w:spacing w:after="0" w:line="240" w:lineRule="auto"/>
              <w:ind w:right="-1"/>
              <w:contextualSpacing w:val="1"/>
              <w:jc w:val="both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-</w:t>
            </w:r>
          </w:p>
        </w:tc>
        <w:tc>
          <w:tcPr>
            <w:tcW w:type="dxa" w:w="9312"/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Посещение Выставки достижений народного хозяйства </w:t>
            </w:r>
          </w:p>
          <w:p w14:paraId="14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(обзорная экскурсия, павильон «Космос»)</w:t>
            </w:r>
          </w:p>
          <w:p w14:paraId="1500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7"/>
              </w:rPr>
            </w:pPr>
          </w:p>
        </w:tc>
      </w:tr>
      <w:tr>
        <w:tc>
          <w:tcPr>
            <w:tcW w:type="dxa" w:w="327"/>
          </w:tcPr>
          <w:p w14:paraId="16000000">
            <w:pPr>
              <w:spacing w:after="0" w:line="240" w:lineRule="auto"/>
              <w:ind w:right="-1"/>
              <w:contextualSpacing w:val="1"/>
              <w:jc w:val="both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-</w:t>
            </w:r>
          </w:p>
        </w:tc>
        <w:tc>
          <w:tcPr>
            <w:tcW w:type="dxa" w:w="9312"/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Посещение Московского Кремля </w:t>
            </w:r>
          </w:p>
          <w:p w14:paraId="18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(Соборная площадь, Оружейная палата, Большой</w:t>
            </w:r>
            <w:r>
              <w:rPr>
                <w:rFonts w:ascii="Times New Roman" w:hAnsi="Times New Roman"/>
                <w:i w:val="1"/>
                <w:sz w:val="27"/>
              </w:rPr>
              <w:t xml:space="preserve"> Кремлевский дворец</w:t>
            </w:r>
            <w:r>
              <w:rPr>
                <w:rFonts w:ascii="Times New Roman" w:hAnsi="Times New Roman"/>
                <w:i w:val="1"/>
                <w:sz w:val="27"/>
              </w:rPr>
              <w:t>)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7"/>
              </w:rPr>
            </w:pPr>
          </w:p>
        </w:tc>
      </w:tr>
      <w:tr>
        <w:tc>
          <w:tcPr>
            <w:tcW w:type="dxa" w:w="327"/>
          </w:tcPr>
          <w:p w14:paraId="1A000000">
            <w:pPr>
              <w:spacing w:after="0" w:line="240" w:lineRule="auto"/>
              <w:ind w:right="-1"/>
              <w:contextualSpacing w:val="1"/>
              <w:jc w:val="both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-</w:t>
            </w:r>
          </w:p>
        </w:tc>
        <w:tc>
          <w:tcPr>
            <w:tcW w:type="dxa" w:w="9312"/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Посещение парка «Зарядье» </w:t>
            </w:r>
          </w:p>
          <w:p w14:paraId="1C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(обзорная экскурсия по парку с посещением Парящего моста, просмотр фильма «Полет над Россией»)</w:t>
            </w:r>
          </w:p>
          <w:p w14:paraId="1D00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7"/>
              </w:rPr>
            </w:pPr>
          </w:p>
        </w:tc>
      </w:tr>
      <w:tr>
        <w:tc>
          <w:tcPr>
            <w:tcW w:type="dxa" w:w="327"/>
          </w:tcPr>
          <w:p w14:paraId="1E000000">
            <w:pPr>
              <w:spacing w:after="0" w:line="240" w:lineRule="auto"/>
              <w:ind w:right="-1"/>
              <w:contextualSpacing w:val="1"/>
              <w:jc w:val="both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-</w:t>
            </w:r>
          </w:p>
        </w:tc>
        <w:tc>
          <w:tcPr>
            <w:tcW w:type="dxa" w:w="9312"/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Посещение Государственного музея изобразительных искусств </w:t>
            </w:r>
            <w:r>
              <w:rPr>
                <w:rFonts w:ascii="Times New Roman" w:hAnsi="Times New Roman"/>
                <w:b w:val="1"/>
                <w:sz w:val="27"/>
              </w:rPr>
              <w:t>им.А.С.Пушкина</w:t>
            </w:r>
          </w:p>
          <w:p w14:paraId="20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(основная экспозиция)</w:t>
            </w:r>
          </w:p>
          <w:p w14:paraId="2100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7"/>
              </w:rPr>
            </w:pPr>
          </w:p>
        </w:tc>
      </w:tr>
      <w:tr>
        <w:tc>
          <w:tcPr>
            <w:tcW w:type="dxa" w:w="327"/>
          </w:tcPr>
          <w:p w14:paraId="22000000">
            <w:pPr>
              <w:spacing w:after="0" w:line="240" w:lineRule="auto"/>
              <w:ind w:right="-1"/>
              <w:contextualSpacing w:val="1"/>
              <w:jc w:val="both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-</w:t>
            </w:r>
          </w:p>
        </w:tc>
        <w:tc>
          <w:tcPr>
            <w:tcW w:type="dxa" w:w="9312"/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Посещение Государственной Третьяковской галереи</w:t>
            </w:r>
          </w:p>
          <w:p w14:paraId="24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(основная экспозиция)</w:t>
            </w:r>
          </w:p>
          <w:p w14:paraId="2500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7"/>
              </w:rPr>
            </w:pPr>
          </w:p>
        </w:tc>
      </w:tr>
      <w:tr>
        <w:tc>
          <w:tcPr>
            <w:tcW w:type="dxa" w:w="327"/>
          </w:tcPr>
          <w:p w14:paraId="26000000">
            <w:pPr>
              <w:spacing w:after="0" w:line="240" w:lineRule="auto"/>
              <w:ind w:right="-1"/>
              <w:contextualSpacing w:val="1"/>
              <w:jc w:val="both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-</w:t>
            </w:r>
          </w:p>
        </w:tc>
        <w:tc>
          <w:tcPr>
            <w:tcW w:type="dxa" w:w="9312"/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Посещение Храма Христа </w:t>
            </w:r>
            <w:r>
              <w:rPr>
                <w:rFonts w:ascii="Times New Roman" w:hAnsi="Times New Roman"/>
                <w:b w:val="1"/>
                <w:sz w:val="27"/>
              </w:rPr>
              <w:t>Спасителя</w:t>
            </w:r>
          </w:p>
          <w:p w14:paraId="28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(обзорная экскурсия, смотровая площадка)</w:t>
            </w:r>
          </w:p>
          <w:p w14:paraId="2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</w:p>
        </w:tc>
      </w:tr>
    </w:tbl>
    <w:p w14:paraId="2A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 xml:space="preserve">ткрытие </w:t>
      </w:r>
      <w:r>
        <w:rPr>
          <w:rFonts w:ascii="Times New Roman" w:hAnsi="Times New Roman"/>
          <w:sz w:val="27"/>
        </w:rPr>
        <w:t>Конференции</w:t>
      </w:r>
      <w:r>
        <w:rPr>
          <w:rFonts w:ascii="Times New Roman" w:hAnsi="Times New Roman"/>
          <w:sz w:val="27"/>
        </w:rPr>
        <w:t>. Пленарное заседание.</w:t>
      </w:r>
    </w:p>
    <w:p w14:paraId="2B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Работа тематических секций</w:t>
      </w:r>
      <w:r>
        <w:rPr>
          <w:rFonts w:ascii="Times New Roman" w:hAnsi="Times New Roman"/>
          <w:sz w:val="27"/>
        </w:rPr>
        <w:t>:</w:t>
      </w:r>
    </w:p>
    <w:p w14:paraId="2C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1. Парламентское сопровождение сотрудничества в области науки </w:t>
      </w:r>
    </w:p>
    <w:p w14:paraId="2D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и образования.</w:t>
      </w:r>
    </w:p>
    <w:p w14:paraId="2E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2. Законодательный ответ на экономические вызовы.</w:t>
      </w:r>
    </w:p>
    <w:p w14:paraId="2F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3. Неделимая безопасность: возможности и вклад парламентов.</w:t>
      </w:r>
    </w:p>
    <w:p w14:paraId="30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 Неоколониализм Запада: как не допустить повторения истории.</w:t>
      </w:r>
    </w:p>
    <w:p w14:paraId="31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Возможны </w:t>
      </w:r>
      <w:r>
        <w:rPr>
          <w:rFonts w:ascii="Times New Roman" w:hAnsi="Times New Roman"/>
          <w:b w:val="1"/>
          <w:sz w:val="27"/>
        </w:rPr>
        <w:t>дополнительные мероприятия</w:t>
      </w:r>
      <w:r>
        <w:rPr>
          <w:rFonts w:ascii="Times New Roman" w:hAnsi="Times New Roman"/>
          <w:sz w:val="27"/>
        </w:rPr>
        <w:t xml:space="preserve"> «на полях» </w:t>
      </w:r>
      <w:r>
        <w:rPr>
          <w:rFonts w:ascii="Times New Roman" w:hAnsi="Times New Roman"/>
          <w:sz w:val="27"/>
        </w:rPr>
        <w:t>Конференции</w:t>
      </w:r>
      <w:r>
        <w:rPr>
          <w:rFonts w:ascii="Times New Roman" w:hAnsi="Times New Roman"/>
          <w:sz w:val="27"/>
        </w:rPr>
        <w:t>.</w:t>
      </w:r>
    </w:p>
    <w:p w14:paraId="32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>Формат заседаний</w:t>
      </w:r>
      <w:r>
        <w:rPr>
          <w:rFonts w:ascii="Times New Roman" w:hAnsi="Times New Roman"/>
          <w:b w:val="1"/>
          <w:sz w:val="27"/>
        </w:rPr>
        <w:t xml:space="preserve"> (секций)</w:t>
      </w:r>
      <w:r>
        <w:rPr>
          <w:rFonts w:ascii="Times New Roman" w:hAnsi="Times New Roman"/>
          <w:b w:val="1"/>
          <w:sz w:val="27"/>
        </w:rPr>
        <w:t>: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панельные дискуссии и круглые столы.</w:t>
      </w:r>
    </w:p>
    <w:p w14:paraId="33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>21 марта</w:t>
      </w:r>
      <w:r>
        <w:rPr>
          <w:rFonts w:ascii="Times New Roman" w:hAnsi="Times New Roman"/>
          <w:b w:val="1"/>
          <w:sz w:val="27"/>
        </w:rPr>
        <w:t>: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отъезд участников. </w:t>
      </w:r>
    </w:p>
    <w:p w14:paraId="34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</w:p>
    <w:p w14:paraId="35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 xml:space="preserve">Основные мероприятия Форума будут обеспечены синхронным переводом </w:t>
      </w:r>
      <w:r>
        <w:rPr>
          <w:rFonts w:ascii="Times New Roman" w:hAnsi="Times New Roman"/>
          <w:sz w:val="27"/>
        </w:rPr>
        <w:t xml:space="preserve">на </w:t>
      </w:r>
      <w:r>
        <w:rPr>
          <w:rFonts w:ascii="Times New Roman" w:hAnsi="Times New Roman"/>
          <w:sz w:val="27"/>
        </w:rPr>
        <w:t>английский, французский, арабский и португальский</w:t>
      </w:r>
      <w:r>
        <w:rPr>
          <w:rFonts w:ascii="Times New Roman" w:hAnsi="Times New Roman"/>
          <w:sz w:val="27"/>
        </w:rPr>
        <w:t xml:space="preserve"> языки</w:t>
      </w:r>
      <w:r>
        <w:rPr>
          <w:rFonts w:ascii="Times New Roman" w:hAnsi="Times New Roman"/>
          <w:sz w:val="27"/>
        </w:rPr>
        <w:t>. Для перевода на другие языки по предварительной заявке предполагается предоставление переводчику делегации оборудования для синхронного перевода на время выступления соответствующего спикера.</w:t>
      </w:r>
    </w:p>
    <w:p w14:paraId="36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</w:p>
    <w:p w14:paraId="37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>Российская сторона берет на себя следующие расходы</w:t>
      </w:r>
      <w:r>
        <w:rPr>
          <w:rFonts w:ascii="Times New Roman" w:hAnsi="Times New Roman"/>
          <w:sz w:val="27"/>
        </w:rPr>
        <w:t>:</w:t>
      </w:r>
    </w:p>
    <w:p w14:paraId="38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b w:val="1"/>
          <w:sz w:val="27"/>
        </w:rPr>
        <w:t>обслуживание в залах официальных лиц и делегаций</w:t>
      </w:r>
      <w:r>
        <w:rPr>
          <w:rFonts w:ascii="Times New Roman" w:hAnsi="Times New Roman"/>
          <w:sz w:val="27"/>
        </w:rPr>
        <w:t xml:space="preserve"> (ЗОЛД) аэропортов г. Москвы при прилете и вылете для членов </w:t>
      </w:r>
      <w:r>
        <w:rPr>
          <w:rFonts w:ascii="Times New Roman" w:hAnsi="Times New Roman"/>
          <w:sz w:val="27"/>
        </w:rPr>
        <w:t>делегаций парламента/палаты парламента/международной парламентской организации</w:t>
      </w:r>
      <w:r>
        <w:rPr>
          <w:rFonts w:ascii="Times New Roman" w:hAnsi="Times New Roman"/>
          <w:sz w:val="27"/>
        </w:rPr>
        <w:t>;</w:t>
      </w:r>
    </w:p>
    <w:p w14:paraId="39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b w:val="1"/>
          <w:sz w:val="27"/>
        </w:rPr>
        <w:t>транспортное обеспечение</w:t>
      </w:r>
      <w:r>
        <w:rPr>
          <w:rFonts w:ascii="Times New Roman" w:hAnsi="Times New Roman"/>
          <w:sz w:val="27"/>
        </w:rPr>
        <w:t xml:space="preserve"> при прибытии в Москву и отъезде делегаций, а также в ходе выполнения программы мероприятия;</w:t>
      </w:r>
    </w:p>
    <w:p w14:paraId="3A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b w:val="1"/>
          <w:sz w:val="27"/>
        </w:rPr>
        <w:t xml:space="preserve">размещение </w:t>
      </w:r>
      <w:r>
        <w:rPr>
          <w:rFonts w:ascii="Times New Roman" w:hAnsi="Times New Roman"/>
          <w:sz w:val="27"/>
        </w:rPr>
        <w:t>в г</w:t>
      </w:r>
      <w:r>
        <w:rPr>
          <w:rFonts w:ascii="Times New Roman" w:hAnsi="Times New Roman"/>
          <w:sz w:val="27"/>
        </w:rPr>
        <w:t xml:space="preserve">остинице г. Москвы на период с </w:t>
      </w:r>
      <w:r>
        <w:rPr>
          <w:rFonts w:ascii="Times New Roman" w:hAnsi="Times New Roman"/>
          <w:sz w:val="27"/>
        </w:rPr>
        <w:t>18 по 21 марта 2023</w:t>
      </w:r>
      <w:r>
        <w:rPr>
          <w:rFonts w:ascii="Times New Roman" w:hAnsi="Times New Roman"/>
          <w:sz w:val="27"/>
        </w:rPr>
        <w:t xml:space="preserve"> года. </w:t>
      </w:r>
    </w:p>
    <w:p w14:paraId="3B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>Страхование:</w:t>
      </w:r>
      <w:r>
        <w:rPr>
          <w:rFonts w:ascii="Times New Roman" w:hAnsi="Times New Roman"/>
          <w:sz w:val="27"/>
        </w:rPr>
        <w:t xml:space="preserve"> Участникам рекомендуется иметь полисы личного и медицинского страхования. </w:t>
      </w:r>
    </w:p>
    <w:p w14:paraId="3C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</w:p>
    <w:p w14:paraId="3D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>Виз</w:t>
      </w:r>
      <w:r>
        <w:rPr>
          <w:rFonts w:ascii="Times New Roman" w:hAnsi="Times New Roman"/>
          <w:b w:val="1"/>
          <w:sz w:val="27"/>
        </w:rPr>
        <w:t>ы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выдаются </w:t>
      </w:r>
      <w:r>
        <w:rPr>
          <w:rFonts w:ascii="Times New Roman" w:hAnsi="Times New Roman"/>
          <w:b w:val="1"/>
          <w:sz w:val="27"/>
        </w:rPr>
        <w:t>на безвозмездной основе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в российских загранучреждениях </w:t>
      </w:r>
      <w:r>
        <w:rPr>
          <w:rFonts w:ascii="Times New Roman" w:hAnsi="Times New Roman"/>
          <w:sz w:val="27"/>
        </w:rPr>
        <w:t>при предъявлении</w:t>
      </w:r>
      <w:r>
        <w:rPr>
          <w:rFonts w:ascii="Times New Roman" w:hAnsi="Times New Roman"/>
          <w:sz w:val="27"/>
        </w:rPr>
        <w:t xml:space="preserve"> копии приглашения на имя спикера соответствующего парламента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или индивидуального приглашения, заполненной регистрационной формы участника </w:t>
      </w:r>
      <w:r>
        <w:rPr>
          <w:rFonts w:ascii="Times New Roman" w:hAnsi="Times New Roman"/>
          <w:sz w:val="27"/>
        </w:rPr>
        <w:t xml:space="preserve">(прилагается) </w:t>
      </w:r>
      <w:r>
        <w:rPr>
          <w:rFonts w:ascii="Times New Roman" w:hAnsi="Times New Roman"/>
          <w:sz w:val="27"/>
        </w:rPr>
        <w:t xml:space="preserve">и письма парламента (организации) с подтверждением включения данного лица в состав делегации (только для членов делегации). </w:t>
      </w:r>
    </w:p>
    <w:p w14:paraId="3E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</w:p>
    <w:p w14:paraId="3F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7"/>
          <w:u w:val="single"/>
        </w:rPr>
      </w:pPr>
      <w:r>
        <w:rPr>
          <w:rFonts w:ascii="Times New Roman" w:hAnsi="Times New Roman"/>
          <w:b w:val="1"/>
          <w:sz w:val="27"/>
        </w:rPr>
        <w:t>Регистрация</w:t>
      </w:r>
      <w:r>
        <w:rPr>
          <w:rFonts w:ascii="Times New Roman" w:hAnsi="Times New Roman"/>
          <w:sz w:val="27"/>
        </w:rPr>
        <w:t xml:space="preserve"> участников </w:t>
      </w:r>
      <w:r>
        <w:rPr>
          <w:rFonts w:ascii="Times New Roman" w:hAnsi="Times New Roman"/>
          <w:sz w:val="27"/>
        </w:rPr>
        <w:t>Форума</w:t>
      </w:r>
      <w:r>
        <w:rPr>
          <w:rFonts w:ascii="Times New Roman" w:hAnsi="Times New Roman"/>
          <w:sz w:val="27"/>
        </w:rPr>
        <w:t xml:space="preserve">, </w:t>
      </w:r>
      <w:r>
        <w:rPr>
          <w:rFonts w:ascii="Times New Roman" w:hAnsi="Times New Roman"/>
          <w:sz w:val="27"/>
        </w:rPr>
        <w:t xml:space="preserve">а также </w:t>
      </w:r>
      <w:r>
        <w:rPr>
          <w:rFonts w:ascii="Times New Roman" w:hAnsi="Times New Roman"/>
          <w:sz w:val="27"/>
        </w:rPr>
        <w:t>сопровождающих лиц и переводчиков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 xml:space="preserve"> осуществляется </w:t>
      </w:r>
      <w:r>
        <w:rPr>
          <w:rFonts w:ascii="Times New Roman" w:hAnsi="Times New Roman"/>
          <w:b w:val="1"/>
          <w:sz w:val="27"/>
        </w:rPr>
        <w:t xml:space="preserve">до </w:t>
      </w:r>
      <w:r>
        <w:rPr>
          <w:rFonts w:ascii="Times New Roman" w:hAnsi="Times New Roman"/>
          <w:b w:val="1"/>
          <w:sz w:val="27"/>
        </w:rPr>
        <w:t>1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марта 2023</w:t>
      </w:r>
      <w:r>
        <w:rPr>
          <w:rFonts w:ascii="Times New Roman" w:hAnsi="Times New Roman"/>
          <w:b w:val="1"/>
          <w:sz w:val="27"/>
        </w:rPr>
        <w:t xml:space="preserve"> г</w:t>
      </w:r>
      <w:r>
        <w:rPr>
          <w:rFonts w:ascii="Times New Roman" w:hAnsi="Times New Roman"/>
          <w:b w:val="1"/>
          <w:sz w:val="27"/>
        </w:rPr>
        <w:t>ода</w:t>
      </w:r>
      <w:r>
        <w:rPr>
          <w:rFonts w:ascii="Times New Roman" w:hAnsi="Times New Roman"/>
          <w:sz w:val="27"/>
        </w:rPr>
        <w:t xml:space="preserve"> путем направления регистрационных форм 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на электронны</w:t>
      </w:r>
      <w:r>
        <w:rPr>
          <w:rFonts w:ascii="Times New Roman" w:hAnsi="Times New Roman"/>
          <w:sz w:val="27"/>
        </w:rPr>
        <w:t>й</w:t>
      </w:r>
      <w:r>
        <w:rPr>
          <w:rFonts w:ascii="Times New Roman" w:hAnsi="Times New Roman"/>
          <w:sz w:val="27"/>
        </w:rPr>
        <w:t xml:space="preserve"> адрес</w:t>
      </w:r>
      <w:r>
        <w:rPr>
          <w:rFonts w:ascii="Times New Roman" w:hAnsi="Times New Roman"/>
          <w:sz w:val="27"/>
        </w:rPr>
        <w:t xml:space="preserve">: 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africa</w:t>
      </w:r>
      <w:r>
        <w:rPr>
          <w:rFonts w:ascii="Times New Roman" w:hAnsi="Times New Roman"/>
          <w:sz w:val="27"/>
        </w:rPr>
        <w:t>@duma.gov.ru</w:t>
      </w:r>
      <w:r>
        <w:rPr>
          <w:rFonts w:ascii="Times New Roman" w:hAnsi="Times New Roman"/>
          <w:sz w:val="27"/>
        </w:rPr>
        <w:t>.</w:t>
      </w:r>
    </w:p>
    <w:p w14:paraId="40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</w:p>
    <w:p w14:paraId="41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>Информация о Форуме</w:t>
      </w:r>
      <w:r>
        <w:rPr>
          <w:rFonts w:ascii="Times New Roman" w:hAnsi="Times New Roman"/>
          <w:sz w:val="27"/>
        </w:rPr>
        <w:t xml:space="preserve"> размещена на сайте Государственной Думы </w:t>
      </w:r>
      <w:r>
        <w:rPr>
          <w:rFonts w:ascii="Times New Roman" w:hAnsi="Times New Roman"/>
          <w:sz w:val="27"/>
        </w:rPr>
        <w:t>(http://duma.gov.ru/international/forum_</w:t>
      </w:r>
      <w:r>
        <w:rPr>
          <w:rFonts w:ascii="Times New Roman" w:hAnsi="Times New Roman"/>
          <w:sz w:val="27"/>
        </w:rPr>
        <w:t>rus</w:t>
      </w:r>
      <w:r>
        <w:rPr>
          <w:rFonts w:ascii="Times New Roman" w:hAnsi="Times New Roman"/>
          <w:sz w:val="27"/>
        </w:rPr>
        <w:t>/)</w:t>
      </w:r>
      <w:bookmarkStart w:id="1" w:name="_GoBack"/>
      <w:bookmarkEnd w:id="1"/>
    </w:p>
    <w:sectPr>
      <w:headerReference r:id="rId1" w:type="first"/>
      <w:headerReference r:id="rId2" w:type="default"/>
      <w:pgSz w:h="16838" w:orient="portrait" w:w="11906"/>
      <w:pgMar w:bottom="993" w:footer="397" w:gutter="0" w:header="454" w:left="1418" w:right="851" w:top="113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rFonts w:ascii="Times New Roman" w:hAnsi="Times New Roman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FollowedHyperlink"/>
    <w:link w:val="Style_10_ch"/>
    <w:rPr>
      <w:color w:val="800080"/>
      <w:u w:val="single"/>
    </w:rPr>
  </w:style>
  <w:style w:styleId="Style_10_ch" w:type="character">
    <w:name w:val="FollowedHyperlink"/>
    <w:link w:val="Style_10"/>
    <w:rPr>
      <w:color w:val="800080"/>
      <w:u w:val="single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3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endnote text"/>
    <w:basedOn w:val="Style_3"/>
    <w:link w:val="Style_14_ch"/>
    <w:rPr>
      <w:sz w:val="20"/>
    </w:rPr>
  </w:style>
  <w:style w:styleId="Style_14_ch" w:type="character">
    <w:name w:val="endnote text"/>
    <w:basedOn w:val="Style_3_ch"/>
    <w:link w:val="Style_14"/>
    <w:rPr>
      <w:sz w:val="20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3"/>
    <w:link w:val="Style_17_ch"/>
    <w:rPr>
      <w:sz w:val="20"/>
    </w:rPr>
  </w:style>
  <w:style w:styleId="Style_17_ch" w:type="character">
    <w:name w:val="Footnote"/>
    <w:basedOn w:val="Style_3_ch"/>
    <w:link w:val="Style_17"/>
    <w:rPr>
      <w:sz w:val="20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endnote reference"/>
    <w:link w:val="Style_21_ch"/>
    <w:rPr>
      <w:vertAlign w:val="superscript"/>
    </w:rPr>
  </w:style>
  <w:style w:styleId="Style_21_ch" w:type="character">
    <w:name w:val="endnote reference"/>
    <w:link w:val="Style_21"/>
    <w:rPr>
      <w:vertAlign w:val="superscript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footnote reference"/>
    <w:link w:val="Style_27_ch"/>
    <w:rPr>
      <w:vertAlign w:val="superscript"/>
    </w:rPr>
  </w:style>
  <w:style w:styleId="Style_27_ch" w:type="character">
    <w:name w:val="footnote reference"/>
    <w:link w:val="Style_27"/>
    <w:rPr>
      <w:vertAlign w:val="superscript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Balloon Text"/>
    <w:basedOn w:val="Style_3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3_ch"/>
    <w:link w:val="Style_29"/>
    <w:rPr>
      <w:rFonts w:ascii="Tahoma" w:hAnsi="Tahoma"/>
      <w:sz w:val="1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2023-02-15T08:14:33Z</dcterms:modified>
</cp:coreProperties>
</file>