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spacing w:after="0"/>
        <w:ind/>
        <w:jc w:val="center"/>
        <w:rPr>
          <w:rFonts w:ascii="Times New Roman" w:hAnsi="Times New Roman"/>
          <w:b w:val="1"/>
          <w:sz w:val="27"/>
        </w:rPr>
      </w:pPr>
      <w:r>
        <w:rPr>
          <w:rFonts w:ascii="Times New Roman" w:hAnsi="Times New Roman"/>
          <w:b w:val="1"/>
          <w:sz w:val="27"/>
        </w:rPr>
        <w:t xml:space="preserve">   GENERAL INFORMATION</w:t>
      </w:r>
    </w:p>
    <w:p w14:paraId="04000000">
      <w:pPr>
        <w:spacing w:after="0"/>
        <w:ind/>
        <w:jc w:val="center"/>
        <w:rPr>
          <w:rFonts w:ascii="Times New Roman" w:hAnsi="Times New Roman"/>
          <w:b w:val="1"/>
          <w:sz w:val="27"/>
        </w:rPr>
      </w:pPr>
      <w:r>
        <w:rPr>
          <w:rFonts w:ascii="Times New Roman" w:hAnsi="Times New Roman"/>
          <w:b w:val="1"/>
          <w:sz w:val="27"/>
        </w:rPr>
        <w:t>for</w:t>
      </w:r>
      <w:r>
        <w:rPr>
          <w:rFonts w:ascii="Times New Roman" w:hAnsi="Times New Roman"/>
          <w:b w:val="1"/>
          <w:sz w:val="27"/>
        </w:rPr>
        <w:t xml:space="preserve"> participants of the Second International Parliamentary Conference</w:t>
      </w:r>
    </w:p>
    <w:p w14:paraId="05000000">
      <w:pPr>
        <w:spacing w:after="0"/>
        <w:ind/>
        <w:jc w:val="center"/>
        <w:rPr>
          <w:rFonts w:ascii="Times New Roman" w:hAnsi="Times New Roman"/>
          <w:b w:val="1"/>
          <w:sz w:val="27"/>
        </w:rPr>
      </w:pPr>
      <w:r>
        <w:rPr>
          <w:rFonts w:ascii="Times New Roman" w:hAnsi="Times New Roman"/>
          <w:b w:val="1"/>
          <w:sz w:val="27"/>
        </w:rPr>
        <w:t xml:space="preserve"> "Russia – Africa"</w:t>
      </w:r>
    </w:p>
    <w:p w14:paraId="06000000">
      <w:pPr>
        <w:spacing w:after="0"/>
        <w:ind/>
        <w:jc w:val="center"/>
        <w:rPr>
          <w:rFonts w:ascii="Times New Roman" w:hAnsi="Times New Roman"/>
          <w:i w:val="1"/>
          <w:sz w:val="27"/>
        </w:rPr>
      </w:pPr>
      <w:r>
        <w:rPr>
          <w:rFonts w:ascii="Times New Roman" w:hAnsi="Times New Roman"/>
          <w:i w:val="1"/>
          <w:sz w:val="27"/>
        </w:rPr>
        <w:t>(Moscow, March 19-20, 2023)</w:t>
      </w:r>
    </w:p>
    <w:p w14:paraId="07000000">
      <w:pPr>
        <w:spacing w:after="0"/>
        <w:ind/>
        <w:jc w:val="center"/>
        <w:rPr>
          <w:rFonts w:ascii="Times New Roman" w:hAnsi="Times New Roman"/>
          <w:b w:val="1"/>
          <w:sz w:val="27"/>
        </w:rPr>
      </w:pPr>
    </w:p>
    <w:p w14:paraId="08000000">
      <w:pPr>
        <w:spacing w:after="0"/>
        <w:ind w:firstLine="709" w:left="0"/>
        <w:jc w:val="both"/>
        <w:rPr>
          <w:rFonts w:ascii="Times New Roman" w:hAnsi="Times New Roman"/>
          <w:sz w:val="27"/>
        </w:rPr>
      </w:pPr>
      <w:r>
        <w:rPr>
          <w:rFonts w:ascii="Times New Roman" w:hAnsi="Times New Roman"/>
          <w:b w:val="1"/>
          <w:sz w:val="27"/>
        </w:rPr>
        <w:t>Venue</w:t>
      </w:r>
      <w:r>
        <w:rPr>
          <w:rFonts w:ascii="Times New Roman" w:hAnsi="Times New Roman"/>
          <w:sz w:val="27"/>
        </w:rPr>
        <w:t xml:space="preserve">: </w:t>
      </w:r>
      <w:r>
        <w:rPr>
          <w:rFonts w:ascii="Times New Roman" w:hAnsi="Times New Roman"/>
          <w:sz w:val="27"/>
        </w:rPr>
        <w:t xml:space="preserve">the House of the Unions, 1 </w:t>
      </w:r>
      <w:r>
        <w:rPr>
          <w:rFonts w:ascii="Times New Roman" w:hAnsi="Times New Roman"/>
          <w:sz w:val="27"/>
        </w:rPr>
        <w:t>Bolshaya</w:t>
      </w:r>
      <w:r>
        <w:rPr>
          <w:rFonts w:ascii="Times New Roman" w:hAnsi="Times New Roman"/>
          <w:sz w:val="27"/>
        </w:rPr>
        <w:t xml:space="preserve"> </w:t>
      </w:r>
      <w:r>
        <w:rPr>
          <w:rFonts w:ascii="Times New Roman" w:hAnsi="Times New Roman"/>
          <w:sz w:val="27"/>
        </w:rPr>
        <w:t>Dmitrovka</w:t>
      </w:r>
      <w:r>
        <w:rPr>
          <w:rFonts w:ascii="Times New Roman" w:hAnsi="Times New Roman"/>
          <w:sz w:val="27"/>
        </w:rPr>
        <w:t xml:space="preserve"> </w:t>
      </w:r>
      <w:r>
        <w:rPr>
          <w:rFonts w:ascii="Times New Roman" w:hAnsi="Times New Roman"/>
          <w:sz w:val="27"/>
        </w:rPr>
        <w:t>street</w:t>
      </w:r>
      <w:r>
        <w:rPr>
          <w:rFonts w:ascii="Times New Roman" w:hAnsi="Times New Roman"/>
          <w:sz w:val="27"/>
        </w:rPr>
        <w:t>, Moscow</w:t>
      </w:r>
    </w:p>
    <w:p w14:paraId="09000000">
      <w:pPr>
        <w:spacing w:after="0"/>
        <w:ind w:firstLine="709" w:left="0"/>
        <w:jc w:val="both"/>
        <w:rPr>
          <w:rFonts w:ascii="Times New Roman" w:hAnsi="Times New Roman"/>
          <w:i w:val="1"/>
          <w:color w:val="000000"/>
          <w:sz w:val="27"/>
        </w:rPr>
      </w:pPr>
    </w:p>
    <w:p w14:paraId="0A000000">
      <w:pPr>
        <w:spacing w:after="0"/>
        <w:ind w:firstLine="709" w:left="0"/>
        <w:jc w:val="both"/>
        <w:rPr>
          <w:rFonts w:ascii="Times New Roman" w:hAnsi="Times New Roman"/>
          <w:i w:val="1"/>
          <w:color w:val="000000"/>
          <w:sz w:val="27"/>
        </w:rPr>
      </w:pPr>
      <w:r>
        <w:rPr>
          <w:rFonts w:ascii="Times New Roman" w:hAnsi="Times New Roman"/>
          <w:b w:val="1"/>
          <w:color w:val="000000"/>
          <w:sz w:val="27"/>
        </w:rPr>
        <w:t>Conference topic:</w:t>
      </w:r>
      <w:r>
        <w:rPr>
          <w:rFonts w:ascii="Times New Roman" w:hAnsi="Times New Roman"/>
          <w:sz w:val="28"/>
        </w:rPr>
        <w:t xml:space="preserve"> "Russia – Africa in a </w:t>
      </w:r>
      <w:r>
        <w:rPr>
          <w:rFonts w:ascii="Times New Roman" w:hAnsi="Times New Roman"/>
          <w:sz w:val="28"/>
        </w:rPr>
        <w:t>M</w:t>
      </w:r>
      <w:r>
        <w:rPr>
          <w:rFonts w:ascii="Times New Roman" w:hAnsi="Times New Roman"/>
          <w:sz w:val="28"/>
        </w:rPr>
        <w:t xml:space="preserve">ultipolar </w:t>
      </w:r>
      <w:r>
        <w:rPr>
          <w:rFonts w:ascii="Times New Roman" w:hAnsi="Times New Roman"/>
          <w:sz w:val="28"/>
        </w:rPr>
        <w:t>W</w:t>
      </w:r>
      <w:r>
        <w:rPr>
          <w:rFonts w:ascii="Times New Roman" w:hAnsi="Times New Roman"/>
          <w:sz w:val="28"/>
        </w:rPr>
        <w:t>orld"</w:t>
      </w:r>
    </w:p>
    <w:p w14:paraId="0B000000">
      <w:pPr>
        <w:spacing w:after="0"/>
        <w:ind w:firstLine="709" w:left="0"/>
        <w:jc w:val="both"/>
        <w:rPr>
          <w:rFonts w:ascii="Times New Roman" w:hAnsi="Times New Roman"/>
          <w:sz w:val="27"/>
        </w:rPr>
      </w:pPr>
      <w:r>
        <w:rPr>
          <w:rFonts w:ascii="Times New Roman" w:hAnsi="Times New Roman"/>
          <w:b w:val="1"/>
          <w:sz w:val="27"/>
        </w:rPr>
        <w:t>Membership:</w:t>
      </w:r>
      <w:r>
        <w:rPr>
          <w:rFonts w:ascii="Times New Roman" w:hAnsi="Times New Roman"/>
          <w:sz w:val="27"/>
        </w:rPr>
        <w:t xml:space="preserve"> parliamentarians and leading experts from more than 50 African countries and a number of international parliamentary organizations are invited to participate. </w:t>
      </w:r>
    </w:p>
    <w:p w14:paraId="0C000000">
      <w:pPr>
        <w:spacing w:after="0"/>
        <w:ind w:firstLine="709" w:left="0"/>
        <w:jc w:val="both"/>
        <w:rPr>
          <w:rFonts w:ascii="Times New Roman" w:hAnsi="Times New Roman"/>
          <w:sz w:val="27"/>
        </w:rPr>
      </w:pPr>
    </w:p>
    <w:p w14:paraId="0D000000">
      <w:pPr>
        <w:spacing w:after="0"/>
        <w:ind w:firstLine="709" w:left="0"/>
        <w:jc w:val="both"/>
        <w:rPr>
          <w:rFonts w:ascii="Times New Roman" w:hAnsi="Times New Roman"/>
          <w:sz w:val="27"/>
        </w:rPr>
      </w:pPr>
      <w:r>
        <w:rPr>
          <w:rFonts w:ascii="Times New Roman" w:hAnsi="Times New Roman"/>
          <w:b w:val="1"/>
          <w:sz w:val="27"/>
        </w:rPr>
        <w:t xml:space="preserve">The general program of the Forum is </w:t>
      </w:r>
      <w:r>
        <w:rPr>
          <w:rFonts w:ascii="Times New Roman" w:hAnsi="Times New Roman"/>
          <w:sz w:val="27"/>
        </w:rPr>
        <w:t>designed for</w:t>
      </w:r>
      <w:r>
        <w:rPr>
          <w:rFonts w:ascii="Times New Roman" w:hAnsi="Times New Roman"/>
          <w:b w:val="1"/>
          <w:sz w:val="27"/>
        </w:rPr>
        <w:t xml:space="preserve"> 4 days (March 18-21, 2023)</w:t>
      </w:r>
      <w:r>
        <w:rPr>
          <w:rFonts w:ascii="Times New Roman" w:hAnsi="Times New Roman"/>
          <w:sz w:val="27"/>
        </w:rPr>
        <w:t>.</w:t>
      </w:r>
    </w:p>
    <w:p w14:paraId="0E000000">
      <w:pPr>
        <w:spacing w:after="0"/>
        <w:ind w:firstLine="709" w:left="0"/>
        <w:jc w:val="both"/>
        <w:rPr>
          <w:rFonts w:ascii="Times New Roman" w:hAnsi="Times New Roman"/>
          <w:sz w:val="27"/>
        </w:rPr>
      </w:pPr>
      <w:r>
        <w:rPr>
          <w:rFonts w:ascii="Times New Roman" w:hAnsi="Times New Roman"/>
          <w:b w:val="1"/>
          <w:sz w:val="27"/>
        </w:rPr>
        <w:t>March 18:</w:t>
      </w:r>
      <w:r>
        <w:rPr>
          <w:rFonts w:ascii="Times New Roman" w:hAnsi="Times New Roman"/>
          <w:sz w:val="27"/>
        </w:rPr>
        <w:t xml:space="preserve"> arrival of participants, a cultural program is planned.</w:t>
      </w:r>
    </w:p>
    <w:p w14:paraId="0F000000">
      <w:pPr>
        <w:spacing w:after="0"/>
        <w:ind w:firstLine="709" w:left="0"/>
        <w:jc w:val="both"/>
        <w:rPr>
          <w:rFonts w:ascii="Times New Roman" w:hAnsi="Times New Roman"/>
          <w:sz w:val="27"/>
        </w:rPr>
      </w:pPr>
      <w:r>
        <w:rPr>
          <w:rFonts w:ascii="Times New Roman" w:hAnsi="Times New Roman"/>
          <w:b w:val="1"/>
          <w:sz w:val="27"/>
        </w:rPr>
        <w:t>March 19</w:t>
      </w:r>
      <w:r>
        <w:rPr>
          <w:rFonts w:ascii="Times New Roman" w:hAnsi="Times New Roman"/>
          <w:b w:val="1"/>
          <w:sz w:val="27"/>
        </w:rPr>
        <w:t>-20</w:t>
      </w:r>
      <w:r>
        <w:rPr>
          <w:rFonts w:ascii="Times New Roman" w:hAnsi="Times New Roman"/>
          <w:b w:val="1"/>
          <w:sz w:val="27"/>
        </w:rPr>
        <w:t>:</w:t>
      </w:r>
      <w:r>
        <w:rPr>
          <w:rFonts w:ascii="Times New Roman" w:hAnsi="Times New Roman"/>
          <w:sz w:val="27"/>
        </w:rPr>
        <w:t xml:space="preserve"> bilateral meetings, business program, cultural program.</w:t>
      </w:r>
    </w:p>
    <w:p w14:paraId="10000000">
      <w:pPr>
        <w:spacing w:after="0"/>
        <w:ind w:firstLine="709" w:left="0"/>
        <w:jc w:val="both"/>
        <w:rPr>
          <w:rFonts w:ascii="Times New Roman" w:hAnsi="Times New Roman"/>
          <w:sz w:val="27"/>
        </w:rPr>
      </w:pPr>
    </w:p>
    <w:p w14:paraId="11000000">
      <w:pPr>
        <w:spacing w:after="0"/>
        <w:ind w:firstLine="709" w:left="0"/>
        <w:jc w:val="both"/>
        <w:rPr>
          <w:rFonts w:ascii="Times New Roman" w:hAnsi="Times New Roman"/>
          <w:b w:val="1"/>
          <w:sz w:val="27"/>
        </w:rPr>
      </w:pPr>
      <w:r>
        <w:rPr>
          <w:rFonts w:ascii="Times New Roman" w:hAnsi="Times New Roman"/>
          <w:sz w:val="27"/>
        </w:rPr>
        <w:t xml:space="preserve">Cultural program content </w:t>
      </w:r>
      <w:r>
        <w:rPr>
          <w:rFonts w:ascii="Times New Roman" w:hAnsi="Times New Roman"/>
          <w:b w:val="1"/>
          <w:sz w:val="27"/>
        </w:rPr>
        <w:t>(to choose 1-2 options):</w:t>
      </w:r>
    </w:p>
    <w:p w14:paraId="12000000">
      <w:pPr>
        <w:spacing w:after="0"/>
        <w:ind w:firstLine="709" w:left="0"/>
        <w:jc w:val="both"/>
        <w:rPr>
          <w:rFonts w:ascii="Times New Roman" w:hAnsi="Times New Roman"/>
          <w:sz w:val="27"/>
        </w:rPr>
      </w:pPr>
    </w:p>
    <w:tbl>
      <w:tblPr>
        <w:tblStyle w:val="Style_2"/>
        <w:tblInd w:type="dxa" w:w="108"/>
        <w:tblLayout w:type="fixed"/>
      </w:tblPr>
      <w:tblGrid>
        <w:gridCol w:w="327"/>
        <w:gridCol w:w="9312"/>
      </w:tblGrid>
      <w:tr>
        <w:tc>
          <w:tcPr>
            <w:tcW w:type="dxa" w:w="327"/>
          </w:tcPr>
          <w:p w14:paraId="13000000">
            <w:pPr>
              <w:spacing w:after="0" w:line="240" w:lineRule="auto"/>
              <w:ind w:right="-1"/>
              <w:contextualSpacing w:val="1"/>
              <w:jc w:val="both"/>
              <w:rPr>
                <w:rFonts w:ascii="Times New Roman" w:hAnsi="Times New Roman"/>
                <w:b w:val="1"/>
                <w:sz w:val="27"/>
              </w:rPr>
            </w:pPr>
            <w:r>
              <w:rPr>
                <w:rFonts w:ascii="Times New Roman" w:hAnsi="Times New Roman"/>
                <w:b w:val="1"/>
                <w:sz w:val="27"/>
              </w:rPr>
              <w:t>-</w:t>
            </w:r>
          </w:p>
        </w:tc>
        <w:tc>
          <w:tcPr>
            <w:tcW w:type="dxa" w:w="9312"/>
            <w:shd w:themeFill="background1" w:val="clear"/>
          </w:tcPr>
          <w:p w14:paraId="14000000">
            <w:pPr>
              <w:spacing w:after="0" w:line="240" w:lineRule="auto"/>
              <w:ind/>
              <w:rPr>
                <w:rFonts w:ascii="Times New Roman" w:hAnsi="Times New Roman"/>
                <w:b w:val="1"/>
                <w:sz w:val="27"/>
              </w:rPr>
            </w:pPr>
            <w:r>
              <w:rPr>
                <w:rFonts w:ascii="Times New Roman" w:hAnsi="Times New Roman"/>
                <w:b w:val="1"/>
                <w:sz w:val="27"/>
              </w:rPr>
              <w:t xml:space="preserve">Visit of the Exhibition of Achievements of the National Economy </w:t>
            </w:r>
          </w:p>
          <w:p w14:paraId="15000000">
            <w:pPr>
              <w:spacing w:after="0" w:line="240" w:lineRule="auto"/>
              <w:ind/>
              <w:rPr>
                <w:rFonts w:ascii="Times New Roman" w:hAnsi="Times New Roman"/>
                <w:i w:val="1"/>
                <w:sz w:val="27"/>
              </w:rPr>
            </w:pPr>
            <w:r>
              <w:rPr>
                <w:rFonts w:ascii="Times New Roman" w:hAnsi="Times New Roman"/>
                <w:i w:val="1"/>
                <w:sz w:val="27"/>
              </w:rPr>
              <w:t>(sightseeing tour, Cosmos hall)</w:t>
            </w:r>
          </w:p>
          <w:p w14:paraId="16000000">
            <w:pPr>
              <w:spacing w:after="0" w:line="240" w:lineRule="auto"/>
              <w:ind/>
              <w:rPr>
                <w:rFonts w:ascii="Times New Roman" w:hAnsi="Times New Roman"/>
                <w:b w:val="1"/>
                <w:i w:val="1"/>
                <w:sz w:val="27"/>
              </w:rPr>
            </w:pPr>
          </w:p>
        </w:tc>
      </w:tr>
      <w:tr>
        <w:tc>
          <w:tcPr>
            <w:tcW w:type="dxa" w:w="327"/>
          </w:tcPr>
          <w:p w14:paraId="17000000">
            <w:pPr>
              <w:spacing w:after="0" w:line="240" w:lineRule="auto"/>
              <w:ind w:right="-1"/>
              <w:contextualSpacing w:val="1"/>
              <w:jc w:val="both"/>
              <w:rPr>
                <w:rFonts w:ascii="Times New Roman" w:hAnsi="Times New Roman"/>
                <w:b w:val="1"/>
                <w:sz w:val="27"/>
              </w:rPr>
            </w:pPr>
            <w:r>
              <w:rPr>
                <w:rFonts w:ascii="Times New Roman" w:hAnsi="Times New Roman"/>
                <w:b w:val="1"/>
                <w:sz w:val="27"/>
              </w:rPr>
              <w:t>-</w:t>
            </w:r>
          </w:p>
        </w:tc>
        <w:tc>
          <w:tcPr>
            <w:tcW w:type="dxa" w:w="9312"/>
            <w:shd w:themeFill="background1" w:val="clear"/>
          </w:tcPr>
          <w:p w14:paraId="18000000">
            <w:pPr>
              <w:spacing w:after="0" w:line="240" w:lineRule="auto"/>
              <w:ind/>
              <w:rPr>
                <w:rFonts w:ascii="Times New Roman" w:hAnsi="Times New Roman"/>
                <w:b w:val="1"/>
                <w:sz w:val="27"/>
              </w:rPr>
            </w:pPr>
            <w:r>
              <w:rPr>
                <w:rFonts w:ascii="Times New Roman" w:hAnsi="Times New Roman"/>
                <w:b w:val="1"/>
                <w:sz w:val="27"/>
              </w:rPr>
              <w:t xml:space="preserve">Visit of the Moscow Kremlin </w:t>
            </w:r>
          </w:p>
          <w:p w14:paraId="19000000">
            <w:pPr>
              <w:spacing w:after="0" w:line="240" w:lineRule="auto"/>
              <w:ind/>
              <w:rPr>
                <w:rFonts w:ascii="Times New Roman" w:hAnsi="Times New Roman"/>
                <w:i w:val="1"/>
                <w:sz w:val="27"/>
              </w:rPr>
            </w:pPr>
            <w:r>
              <w:rPr>
                <w:rFonts w:ascii="Times New Roman" w:hAnsi="Times New Roman"/>
                <w:i w:val="1"/>
                <w:sz w:val="27"/>
              </w:rPr>
              <w:t xml:space="preserve">(Cathedral Square, </w:t>
            </w:r>
            <w:r>
              <w:rPr>
                <w:rFonts w:ascii="Times New Roman" w:hAnsi="Times New Roman"/>
                <w:i w:val="1"/>
                <w:sz w:val="27"/>
              </w:rPr>
              <w:t>Armoury</w:t>
            </w:r>
            <w:r>
              <w:rPr>
                <w:rFonts w:ascii="Times New Roman" w:hAnsi="Times New Roman"/>
                <w:i w:val="1"/>
                <w:sz w:val="27"/>
              </w:rPr>
              <w:t xml:space="preserve"> Chamber, Grand Kremlin Palace)</w:t>
            </w:r>
          </w:p>
          <w:p w14:paraId="1A000000">
            <w:pPr>
              <w:spacing w:after="0" w:line="240" w:lineRule="auto"/>
              <w:ind/>
              <w:rPr>
                <w:rFonts w:ascii="Times New Roman" w:hAnsi="Times New Roman"/>
                <w:b w:val="1"/>
                <w:i w:val="1"/>
                <w:sz w:val="27"/>
              </w:rPr>
            </w:pPr>
          </w:p>
        </w:tc>
      </w:tr>
      <w:tr>
        <w:tc>
          <w:tcPr>
            <w:tcW w:type="dxa" w:w="327"/>
          </w:tcPr>
          <w:p w14:paraId="1B000000">
            <w:pPr>
              <w:spacing w:after="0" w:line="240" w:lineRule="auto"/>
              <w:ind w:right="-1"/>
              <w:contextualSpacing w:val="1"/>
              <w:jc w:val="both"/>
              <w:rPr>
                <w:rFonts w:ascii="Times New Roman" w:hAnsi="Times New Roman"/>
                <w:b w:val="1"/>
                <w:sz w:val="27"/>
              </w:rPr>
            </w:pPr>
            <w:r>
              <w:rPr>
                <w:rFonts w:ascii="Times New Roman" w:hAnsi="Times New Roman"/>
                <w:b w:val="1"/>
                <w:sz w:val="27"/>
              </w:rPr>
              <w:t>-</w:t>
            </w:r>
          </w:p>
        </w:tc>
        <w:tc>
          <w:tcPr>
            <w:tcW w:type="dxa" w:w="9312"/>
            <w:shd w:themeFill="background1" w:val="clear"/>
          </w:tcPr>
          <w:p w14:paraId="1C000000">
            <w:pPr>
              <w:spacing w:after="0" w:line="240" w:lineRule="auto"/>
              <w:ind/>
              <w:rPr>
                <w:rFonts w:ascii="Times New Roman" w:hAnsi="Times New Roman"/>
                <w:b w:val="1"/>
                <w:sz w:val="27"/>
              </w:rPr>
            </w:pPr>
            <w:r>
              <w:rPr>
                <w:rFonts w:ascii="Times New Roman" w:hAnsi="Times New Roman"/>
                <w:b w:val="1"/>
                <w:sz w:val="27"/>
              </w:rPr>
              <w:t xml:space="preserve">Visit of </w:t>
            </w:r>
            <w:r>
              <w:rPr>
                <w:rFonts w:ascii="Times New Roman" w:hAnsi="Times New Roman"/>
                <w:b w:val="1"/>
                <w:sz w:val="27"/>
              </w:rPr>
              <w:t>Zaryadye</w:t>
            </w:r>
            <w:r>
              <w:rPr>
                <w:rFonts w:ascii="Times New Roman" w:hAnsi="Times New Roman"/>
                <w:b w:val="1"/>
                <w:sz w:val="27"/>
              </w:rPr>
              <w:t xml:space="preserve"> Park </w:t>
            </w:r>
          </w:p>
          <w:p w14:paraId="1D000000">
            <w:pPr>
              <w:spacing w:after="0" w:line="240" w:lineRule="auto"/>
              <w:ind/>
              <w:rPr>
                <w:rFonts w:ascii="Times New Roman" w:hAnsi="Times New Roman"/>
                <w:i w:val="1"/>
                <w:sz w:val="27"/>
              </w:rPr>
            </w:pPr>
            <w:r>
              <w:rPr>
                <w:rFonts w:ascii="Times New Roman" w:hAnsi="Times New Roman"/>
                <w:i w:val="1"/>
                <w:sz w:val="27"/>
              </w:rPr>
              <w:t>(sightseeing tour along the park and walk on the Floating Bridge, watching the movie "Flight over Russia")</w:t>
            </w:r>
          </w:p>
          <w:p w14:paraId="1E000000">
            <w:pPr>
              <w:spacing w:after="0" w:line="240" w:lineRule="auto"/>
              <w:ind/>
              <w:rPr>
                <w:rFonts w:ascii="Times New Roman" w:hAnsi="Times New Roman"/>
                <w:b w:val="1"/>
                <w:i w:val="1"/>
                <w:sz w:val="27"/>
              </w:rPr>
            </w:pPr>
          </w:p>
        </w:tc>
      </w:tr>
      <w:tr>
        <w:tc>
          <w:tcPr>
            <w:tcW w:type="dxa" w:w="327"/>
          </w:tcPr>
          <w:p w14:paraId="1F000000">
            <w:pPr>
              <w:spacing w:after="0" w:line="240" w:lineRule="auto"/>
              <w:ind w:right="-1"/>
              <w:contextualSpacing w:val="1"/>
              <w:jc w:val="both"/>
              <w:rPr>
                <w:rFonts w:ascii="Times New Roman" w:hAnsi="Times New Roman"/>
                <w:b w:val="1"/>
                <w:sz w:val="27"/>
              </w:rPr>
            </w:pPr>
            <w:r>
              <w:rPr>
                <w:rFonts w:ascii="Times New Roman" w:hAnsi="Times New Roman"/>
                <w:b w:val="1"/>
                <w:sz w:val="27"/>
              </w:rPr>
              <w:t>-</w:t>
            </w:r>
          </w:p>
        </w:tc>
        <w:tc>
          <w:tcPr>
            <w:tcW w:type="dxa" w:w="9312"/>
            <w:shd w:themeFill="background1" w:val="clear"/>
          </w:tcPr>
          <w:p w14:paraId="20000000">
            <w:pPr>
              <w:spacing w:after="0" w:line="240" w:lineRule="auto"/>
              <w:ind/>
              <w:rPr>
                <w:rFonts w:ascii="Times New Roman" w:hAnsi="Times New Roman"/>
                <w:b w:val="1"/>
                <w:sz w:val="27"/>
              </w:rPr>
            </w:pPr>
            <w:r>
              <w:rPr>
                <w:rFonts w:ascii="Times New Roman" w:hAnsi="Times New Roman"/>
                <w:b w:val="1"/>
                <w:sz w:val="27"/>
              </w:rPr>
              <w:t>Visit of Pushkin State Museum of Fine Arts</w:t>
            </w:r>
          </w:p>
          <w:p w14:paraId="21000000">
            <w:pPr>
              <w:spacing w:after="0" w:line="240" w:lineRule="auto"/>
              <w:ind/>
              <w:rPr>
                <w:rFonts w:ascii="Times New Roman" w:hAnsi="Times New Roman"/>
                <w:i w:val="1"/>
                <w:sz w:val="27"/>
              </w:rPr>
            </w:pPr>
            <w:r>
              <w:rPr>
                <w:rFonts w:ascii="Times New Roman" w:hAnsi="Times New Roman"/>
                <w:i w:val="1"/>
                <w:sz w:val="27"/>
              </w:rPr>
              <w:t>(core exhibition)</w:t>
            </w:r>
          </w:p>
          <w:p w14:paraId="22000000">
            <w:pPr>
              <w:spacing w:after="0" w:line="240" w:lineRule="auto"/>
              <w:ind/>
              <w:rPr>
                <w:rFonts w:ascii="Times New Roman" w:hAnsi="Times New Roman"/>
                <w:b w:val="1"/>
                <w:i w:val="1"/>
                <w:sz w:val="27"/>
              </w:rPr>
            </w:pPr>
          </w:p>
        </w:tc>
      </w:tr>
      <w:tr>
        <w:tc>
          <w:tcPr>
            <w:tcW w:type="dxa" w:w="327"/>
          </w:tcPr>
          <w:p w14:paraId="23000000">
            <w:pPr>
              <w:spacing w:after="0" w:line="240" w:lineRule="auto"/>
              <w:ind w:right="-1"/>
              <w:contextualSpacing w:val="1"/>
              <w:jc w:val="both"/>
              <w:rPr>
                <w:rFonts w:ascii="Times New Roman" w:hAnsi="Times New Roman"/>
                <w:b w:val="1"/>
                <w:sz w:val="27"/>
              </w:rPr>
            </w:pPr>
            <w:r>
              <w:rPr>
                <w:rFonts w:ascii="Times New Roman" w:hAnsi="Times New Roman"/>
                <w:b w:val="1"/>
                <w:sz w:val="27"/>
              </w:rPr>
              <w:t>-</w:t>
            </w:r>
          </w:p>
        </w:tc>
        <w:tc>
          <w:tcPr>
            <w:tcW w:type="dxa" w:w="9312"/>
            <w:shd w:themeFill="background1" w:val="clear"/>
          </w:tcPr>
          <w:p w14:paraId="24000000">
            <w:pPr>
              <w:spacing w:after="0" w:line="240" w:lineRule="auto"/>
              <w:ind/>
              <w:rPr>
                <w:rFonts w:ascii="Times New Roman" w:hAnsi="Times New Roman"/>
                <w:b w:val="1"/>
                <w:sz w:val="27"/>
              </w:rPr>
            </w:pPr>
            <w:r>
              <w:rPr>
                <w:rFonts w:ascii="Times New Roman" w:hAnsi="Times New Roman"/>
                <w:b w:val="1"/>
                <w:sz w:val="27"/>
              </w:rPr>
              <w:t xml:space="preserve">Visit of State </w:t>
            </w:r>
            <w:r>
              <w:rPr>
                <w:rFonts w:ascii="Times New Roman" w:hAnsi="Times New Roman"/>
                <w:b w:val="1"/>
                <w:sz w:val="27"/>
              </w:rPr>
              <w:t>Tretyakov</w:t>
            </w:r>
            <w:r>
              <w:rPr>
                <w:rFonts w:ascii="Times New Roman" w:hAnsi="Times New Roman"/>
                <w:b w:val="1"/>
                <w:sz w:val="27"/>
              </w:rPr>
              <w:t xml:space="preserve"> Gallery</w:t>
            </w:r>
          </w:p>
          <w:p w14:paraId="25000000">
            <w:pPr>
              <w:spacing w:after="0" w:line="240" w:lineRule="auto"/>
              <w:ind/>
              <w:rPr>
                <w:rFonts w:ascii="Times New Roman" w:hAnsi="Times New Roman"/>
                <w:i w:val="1"/>
                <w:sz w:val="27"/>
              </w:rPr>
            </w:pPr>
            <w:r>
              <w:rPr>
                <w:rFonts w:ascii="Times New Roman" w:hAnsi="Times New Roman"/>
                <w:i w:val="1"/>
                <w:sz w:val="27"/>
              </w:rPr>
              <w:t>(core exhibition)</w:t>
            </w:r>
          </w:p>
          <w:p w14:paraId="26000000">
            <w:pPr>
              <w:spacing w:after="0" w:line="240" w:lineRule="auto"/>
              <w:ind/>
              <w:rPr>
                <w:rFonts w:ascii="Times New Roman" w:hAnsi="Times New Roman"/>
                <w:b w:val="1"/>
                <w:i w:val="1"/>
                <w:sz w:val="27"/>
              </w:rPr>
            </w:pPr>
          </w:p>
        </w:tc>
      </w:tr>
      <w:tr>
        <w:tc>
          <w:tcPr>
            <w:tcW w:type="dxa" w:w="327"/>
          </w:tcPr>
          <w:p w14:paraId="27000000">
            <w:pPr>
              <w:spacing w:after="0" w:line="240" w:lineRule="auto"/>
              <w:ind w:right="-1"/>
              <w:contextualSpacing w:val="1"/>
              <w:jc w:val="both"/>
              <w:rPr>
                <w:rFonts w:ascii="Times New Roman" w:hAnsi="Times New Roman"/>
                <w:b w:val="1"/>
                <w:sz w:val="27"/>
              </w:rPr>
            </w:pPr>
            <w:r>
              <w:rPr>
                <w:rFonts w:ascii="Times New Roman" w:hAnsi="Times New Roman"/>
                <w:b w:val="1"/>
                <w:sz w:val="27"/>
              </w:rPr>
              <w:t>-</w:t>
            </w:r>
          </w:p>
        </w:tc>
        <w:tc>
          <w:tcPr>
            <w:tcW w:type="dxa" w:w="9312"/>
            <w:shd w:themeFill="background1" w:val="clear"/>
          </w:tcPr>
          <w:p w14:paraId="28000000">
            <w:pPr>
              <w:spacing w:after="0" w:line="240" w:lineRule="auto"/>
              <w:ind/>
              <w:rPr>
                <w:rFonts w:ascii="Times New Roman" w:hAnsi="Times New Roman"/>
                <w:b w:val="1"/>
                <w:sz w:val="27"/>
              </w:rPr>
            </w:pPr>
            <w:r>
              <w:rPr>
                <w:rFonts w:ascii="Times New Roman" w:hAnsi="Times New Roman"/>
                <w:b w:val="1"/>
                <w:sz w:val="27"/>
              </w:rPr>
              <w:t>Visit of Cathedral of Christ the Savior</w:t>
            </w:r>
          </w:p>
          <w:p w14:paraId="29000000">
            <w:pPr>
              <w:spacing w:after="0" w:line="240" w:lineRule="auto"/>
              <w:ind/>
              <w:rPr>
                <w:rFonts w:ascii="Times New Roman" w:hAnsi="Times New Roman"/>
                <w:i w:val="1"/>
                <w:sz w:val="27"/>
              </w:rPr>
            </w:pPr>
            <w:r>
              <w:rPr>
                <w:rFonts w:ascii="Times New Roman" w:hAnsi="Times New Roman"/>
                <w:i w:val="1"/>
                <w:sz w:val="27"/>
              </w:rPr>
              <w:t>(sightseeing tour, sightseeing platform)</w:t>
            </w:r>
          </w:p>
          <w:p w14:paraId="2A000000">
            <w:pPr>
              <w:spacing w:after="0" w:line="240" w:lineRule="auto"/>
              <w:ind/>
              <w:rPr>
                <w:rFonts w:ascii="Times New Roman" w:hAnsi="Times New Roman"/>
                <w:b w:val="1"/>
                <w:sz w:val="27"/>
              </w:rPr>
            </w:pPr>
          </w:p>
        </w:tc>
      </w:tr>
    </w:tbl>
    <w:p w14:paraId="2B000000">
      <w:pPr>
        <w:spacing w:after="0"/>
        <w:ind w:firstLine="709" w:left="0"/>
        <w:jc w:val="both"/>
        <w:rPr>
          <w:rFonts w:ascii="Times New Roman" w:hAnsi="Times New Roman"/>
          <w:sz w:val="27"/>
        </w:rPr>
      </w:pPr>
      <w:r>
        <w:rPr>
          <w:rFonts w:ascii="Times New Roman" w:hAnsi="Times New Roman"/>
          <w:sz w:val="27"/>
        </w:rPr>
        <w:t>О</w:t>
      </w:r>
      <w:r>
        <w:rPr>
          <w:rFonts w:ascii="Times New Roman" w:hAnsi="Times New Roman"/>
          <w:sz w:val="27"/>
        </w:rPr>
        <w:t xml:space="preserve">pening of the Conference. </w:t>
      </w:r>
      <w:r>
        <w:rPr>
          <w:rFonts w:ascii="Times New Roman" w:hAnsi="Times New Roman"/>
          <w:sz w:val="27"/>
        </w:rPr>
        <w:t>Plenary session.</w:t>
      </w:r>
      <w:r>
        <w:rPr>
          <w:rFonts w:ascii="Times New Roman" w:hAnsi="Times New Roman"/>
          <w:sz w:val="27"/>
        </w:rPr>
        <w:t xml:space="preserve"> Work of sessions:</w:t>
      </w:r>
    </w:p>
    <w:p w14:paraId="2C000000">
      <w:pPr>
        <w:spacing w:after="0"/>
        <w:ind w:firstLine="709" w:left="0"/>
        <w:jc w:val="both"/>
        <w:rPr>
          <w:rFonts w:ascii="Times New Roman" w:hAnsi="Times New Roman"/>
          <w:sz w:val="27"/>
        </w:rPr>
      </w:pPr>
      <w:r>
        <w:rPr>
          <w:rFonts w:ascii="Times New Roman" w:hAnsi="Times New Roman"/>
          <w:sz w:val="27"/>
        </w:rPr>
        <w:t xml:space="preserve">1. Parliamentary </w:t>
      </w:r>
      <w:r>
        <w:rPr>
          <w:rFonts w:ascii="Times New Roman" w:hAnsi="Times New Roman"/>
          <w:sz w:val="27"/>
        </w:rPr>
        <w:t>S</w:t>
      </w:r>
      <w:r>
        <w:rPr>
          <w:rFonts w:ascii="Times New Roman" w:hAnsi="Times New Roman"/>
          <w:sz w:val="27"/>
        </w:rPr>
        <w:t xml:space="preserve">upport of </w:t>
      </w:r>
      <w:r>
        <w:rPr>
          <w:rFonts w:ascii="Times New Roman" w:hAnsi="Times New Roman"/>
          <w:sz w:val="27"/>
        </w:rPr>
        <w:t>Scientific and Educational C</w:t>
      </w:r>
      <w:r>
        <w:rPr>
          <w:rFonts w:ascii="Times New Roman" w:hAnsi="Times New Roman"/>
          <w:sz w:val="27"/>
        </w:rPr>
        <w:t>ooperation</w:t>
      </w:r>
    </w:p>
    <w:p w14:paraId="2D000000">
      <w:pPr>
        <w:spacing w:after="0"/>
        <w:ind w:firstLine="709" w:left="0"/>
        <w:jc w:val="both"/>
        <w:rPr>
          <w:rFonts w:ascii="Times New Roman" w:hAnsi="Times New Roman"/>
          <w:sz w:val="27"/>
        </w:rPr>
      </w:pPr>
      <w:r>
        <w:rPr>
          <w:rFonts w:ascii="Times New Roman" w:hAnsi="Times New Roman"/>
          <w:sz w:val="27"/>
        </w:rPr>
        <w:t>and</w:t>
      </w:r>
      <w:r>
        <w:rPr>
          <w:rFonts w:ascii="Times New Roman" w:hAnsi="Times New Roman"/>
          <w:sz w:val="27"/>
        </w:rPr>
        <w:t xml:space="preserve"> education.</w:t>
      </w:r>
    </w:p>
    <w:p w14:paraId="2E000000">
      <w:pPr>
        <w:spacing w:after="0"/>
        <w:ind w:firstLine="709" w:left="0"/>
        <w:jc w:val="both"/>
        <w:rPr>
          <w:rFonts w:ascii="Times New Roman" w:hAnsi="Times New Roman"/>
          <w:sz w:val="27"/>
        </w:rPr>
      </w:pPr>
      <w:r>
        <w:rPr>
          <w:rFonts w:ascii="Times New Roman" w:hAnsi="Times New Roman"/>
          <w:sz w:val="27"/>
        </w:rPr>
        <w:t xml:space="preserve">2. Legislative </w:t>
      </w:r>
      <w:r>
        <w:rPr>
          <w:rFonts w:ascii="Times New Roman" w:hAnsi="Times New Roman"/>
          <w:sz w:val="27"/>
        </w:rPr>
        <w:t>R</w:t>
      </w:r>
      <w:r>
        <w:rPr>
          <w:rFonts w:ascii="Times New Roman" w:hAnsi="Times New Roman"/>
          <w:sz w:val="27"/>
        </w:rPr>
        <w:t xml:space="preserve">esponse to </w:t>
      </w:r>
      <w:r>
        <w:rPr>
          <w:rFonts w:ascii="Times New Roman" w:hAnsi="Times New Roman"/>
          <w:sz w:val="27"/>
        </w:rPr>
        <w:t>E</w:t>
      </w:r>
      <w:r>
        <w:rPr>
          <w:rFonts w:ascii="Times New Roman" w:hAnsi="Times New Roman"/>
          <w:sz w:val="27"/>
        </w:rPr>
        <w:t xml:space="preserve">conomic </w:t>
      </w:r>
      <w:r>
        <w:rPr>
          <w:rFonts w:ascii="Times New Roman" w:hAnsi="Times New Roman"/>
          <w:sz w:val="27"/>
        </w:rPr>
        <w:t>C</w:t>
      </w:r>
      <w:r>
        <w:rPr>
          <w:rFonts w:ascii="Times New Roman" w:hAnsi="Times New Roman"/>
          <w:sz w:val="27"/>
        </w:rPr>
        <w:t>hallenges.</w:t>
      </w:r>
    </w:p>
    <w:p w14:paraId="2F000000">
      <w:pPr>
        <w:spacing w:after="0"/>
        <w:ind w:firstLine="709" w:left="0"/>
        <w:jc w:val="both"/>
        <w:rPr>
          <w:rFonts w:ascii="Times New Roman" w:hAnsi="Times New Roman"/>
          <w:sz w:val="27"/>
        </w:rPr>
      </w:pPr>
      <w:r>
        <w:rPr>
          <w:rFonts w:ascii="Times New Roman" w:hAnsi="Times New Roman"/>
          <w:sz w:val="27"/>
        </w:rPr>
        <w:t xml:space="preserve">3. Indivisible </w:t>
      </w:r>
      <w:r>
        <w:rPr>
          <w:rFonts w:ascii="Times New Roman" w:hAnsi="Times New Roman"/>
          <w:sz w:val="27"/>
        </w:rPr>
        <w:t>S</w:t>
      </w:r>
      <w:r>
        <w:rPr>
          <w:rFonts w:ascii="Times New Roman" w:hAnsi="Times New Roman"/>
          <w:sz w:val="27"/>
        </w:rPr>
        <w:t xml:space="preserve">ecurity: </w:t>
      </w:r>
      <w:r>
        <w:rPr>
          <w:rFonts w:ascii="Times New Roman" w:hAnsi="Times New Roman"/>
          <w:sz w:val="27"/>
        </w:rPr>
        <w:t>The</w:t>
      </w:r>
      <w:r>
        <w:rPr>
          <w:rFonts w:ascii="Times New Roman" w:hAnsi="Times New Roman"/>
          <w:sz w:val="27"/>
        </w:rPr>
        <w:t xml:space="preserve"> </w:t>
      </w:r>
      <w:r>
        <w:rPr>
          <w:rFonts w:ascii="Times New Roman" w:hAnsi="Times New Roman"/>
          <w:sz w:val="27"/>
        </w:rPr>
        <w:t>C</w:t>
      </w:r>
      <w:r>
        <w:rPr>
          <w:rFonts w:ascii="Times New Roman" w:hAnsi="Times New Roman"/>
          <w:sz w:val="27"/>
        </w:rPr>
        <w:t xml:space="preserve">apabilities and </w:t>
      </w:r>
      <w:r>
        <w:rPr>
          <w:rFonts w:ascii="Times New Roman" w:hAnsi="Times New Roman"/>
          <w:sz w:val="27"/>
        </w:rPr>
        <w:t>C</w:t>
      </w:r>
      <w:r>
        <w:rPr>
          <w:rFonts w:ascii="Times New Roman" w:hAnsi="Times New Roman"/>
          <w:sz w:val="27"/>
        </w:rPr>
        <w:t xml:space="preserve">ontributions of </w:t>
      </w:r>
      <w:r>
        <w:rPr>
          <w:rFonts w:ascii="Times New Roman" w:hAnsi="Times New Roman"/>
          <w:sz w:val="27"/>
        </w:rPr>
        <w:t>P</w:t>
      </w:r>
      <w:r>
        <w:rPr>
          <w:rFonts w:ascii="Times New Roman" w:hAnsi="Times New Roman"/>
          <w:sz w:val="27"/>
        </w:rPr>
        <w:t>arliaments.</w:t>
      </w:r>
    </w:p>
    <w:p w14:paraId="30000000">
      <w:pPr>
        <w:spacing w:after="0"/>
        <w:ind w:firstLine="709" w:left="0"/>
        <w:jc w:val="both"/>
        <w:rPr>
          <w:rFonts w:ascii="Times New Roman" w:hAnsi="Times New Roman"/>
          <w:sz w:val="27"/>
        </w:rPr>
      </w:pPr>
      <w:r>
        <w:rPr>
          <w:rFonts w:ascii="Times New Roman" w:hAnsi="Times New Roman"/>
          <w:sz w:val="27"/>
        </w:rPr>
        <w:t xml:space="preserve">4. Neocolonialism of the West: </w:t>
      </w:r>
      <w:r>
        <w:rPr>
          <w:rFonts w:ascii="Times New Roman" w:hAnsi="Times New Roman"/>
          <w:sz w:val="27"/>
        </w:rPr>
        <w:t>H</w:t>
      </w:r>
      <w:r>
        <w:rPr>
          <w:rFonts w:ascii="Times New Roman" w:hAnsi="Times New Roman"/>
          <w:sz w:val="27"/>
        </w:rPr>
        <w:t xml:space="preserve">ow to </w:t>
      </w:r>
      <w:r>
        <w:rPr>
          <w:rFonts w:ascii="Times New Roman" w:hAnsi="Times New Roman"/>
          <w:sz w:val="27"/>
        </w:rPr>
        <w:t>P</w:t>
      </w:r>
      <w:r>
        <w:rPr>
          <w:rFonts w:ascii="Times New Roman" w:hAnsi="Times New Roman"/>
          <w:sz w:val="27"/>
        </w:rPr>
        <w:t xml:space="preserve">revent the </w:t>
      </w:r>
      <w:r>
        <w:rPr>
          <w:rFonts w:ascii="Times New Roman" w:hAnsi="Times New Roman"/>
          <w:sz w:val="27"/>
        </w:rPr>
        <w:t>R</w:t>
      </w:r>
      <w:r>
        <w:rPr>
          <w:rFonts w:ascii="Times New Roman" w:hAnsi="Times New Roman"/>
          <w:sz w:val="27"/>
        </w:rPr>
        <w:t xml:space="preserve">epetition of </w:t>
      </w:r>
      <w:r>
        <w:rPr>
          <w:rFonts w:ascii="Times New Roman" w:hAnsi="Times New Roman"/>
          <w:sz w:val="27"/>
        </w:rPr>
        <w:t>H</w:t>
      </w:r>
      <w:r>
        <w:rPr>
          <w:rFonts w:ascii="Times New Roman" w:hAnsi="Times New Roman"/>
          <w:sz w:val="27"/>
        </w:rPr>
        <w:t>istory.</w:t>
      </w:r>
    </w:p>
    <w:p w14:paraId="31000000">
      <w:pPr>
        <w:spacing w:after="0"/>
        <w:ind w:firstLine="709" w:left="0"/>
        <w:jc w:val="both"/>
        <w:rPr>
          <w:rFonts w:ascii="Times New Roman" w:hAnsi="Times New Roman"/>
          <w:sz w:val="27"/>
        </w:rPr>
      </w:pPr>
      <w:r>
        <w:rPr>
          <w:rFonts w:ascii="Times New Roman" w:hAnsi="Times New Roman"/>
          <w:b w:val="1"/>
          <w:sz w:val="27"/>
        </w:rPr>
        <w:t>Additional events</w:t>
      </w:r>
      <w:r>
        <w:rPr>
          <w:rFonts w:ascii="Times New Roman" w:hAnsi="Times New Roman"/>
          <w:sz w:val="27"/>
        </w:rPr>
        <w:t xml:space="preserve"> are possible "in the margins" of the Conference.</w:t>
      </w:r>
    </w:p>
    <w:p w14:paraId="32000000">
      <w:pPr>
        <w:spacing w:after="0"/>
        <w:ind w:firstLine="709" w:left="0"/>
        <w:jc w:val="both"/>
        <w:rPr>
          <w:rFonts w:ascii="Times New Roman" w:hAnsi="Times New Roman"/>
          <w:sz w:val="27"/>
        </w:rPr>
      </w:pPr>
      <w:r>
        <w:rPr>
          <w:rFonts w:ascii="Times New Roman" w:hAnsi="Times New Roman"/>
          <w:b w:val="1"/>
          <w:sz w:val="27"/>
        </w:rPr>
        <w:t>Format of meetings (sections):</w:t>
      </w:r>
      <w:r>
        <w:rPr>
          <w:rFonts w:ascii="Times New Roman" w:hAnsi="Times New Roman"/>
          <w:sz w:val="27"/>
        </w:rPr>
        <w:t xml:space="preserve"> panel discussions and round tables.</w:t>
      </w:r>
    </w:p>
    <w:p w14:paraId="33000000">
      <w:pPr>
        <w:spacing w:after="0"/>
        <w:ind w:firstLine="709" w:left="0"/>
        <w:jc w:val="both"/>
        <w:rPr>
          <w:rFonts w:ascii="Times New Roman" w:hAnsi="Times New Roman"/>
          <w:sz w:val="27"/>
        </w:rPr>
      </w:pPr>
      <w:r>
        <w:rPr>
          <w:rFonts w:ascii="Times New Roman" w:hAnsi="Times New Roman"/>
          <w:b w:val="1"/>
          <w:sz w:val="27"/>
        </w:rPr>
        <w:t>March 21:</w:t>
      </w:r>
      <w:r>
        <w:rPr>
          <w:rFonts w:ascii="Times New Roman" w:hAnsi="Times New Roman"/>
          <w:sz w:val="27"/>
        </w:rPr>
        <w:t xml:space="preserve"> departure of the participants. </w:t>
      </w:r>
    </w:p>
    <w:p w14:paraId="34000000">
      <w:pPr>
        <w:spacing w:after="0"/>
        <w:ind w:firstLine="709" w:left="0"/>
        <w:jc w:val="both"/>
        <w:rPr>
          <w:rFonts w:ascii="Times New Roman" w:hAnsi="Times New Roman"/>
          <w:sz w:val="27"/>
        </w:rPr>
      </w:pPr>
    </w:p>
    <w:p w14:paraId="35000000">
      <w:pPr>
        <w:spacing w:after="0"/>
        <w:ind w:firstLine="709" w:left="0"/>
        <w:jc w:val="both"/>
        <w:rPr>
          <w:rFonts w:ascii="Times New Roman" w:hAnsi="Times New Roman"/>
          <w:sz w:val="27"/>
        </w:rPr>
      </w:pPr>
      <w:r>
        <w:rPr>
          <w:rFonts w:ascii="Times New Roman" w:hAnsi="Times New Roman"/>
          <w:b w:val="1"/>
          <w:sz w:val="27"/>
        </w:rPr>
        <w:t>The main events of the Forum will be provided with conference interpreting</w:t>
      </w:r>
      <w:r>
        <w:rPr>
          <w:rFonts w:ascii="Times New Roman" w:hAnsi="Times New Roman"/>
          <w:sz w:val="27"/>
        </w:rPr>
        <w:t xml:space="preserve"> into English, French, Arabic and Portuguese. For translation into other languages, upon prior request, it is assumed that the interpreter of the delegation will be provided with equipment for conference interpreting during the speech of the corresponding speaker.</w:t>
      </w:r>
    </w:p>
    <w:p w14:paraId="36000000">
      <w:pPr>
        <w:spacing w:after="0"/>
        <w:ind w:firstLine="709" w:left="0"/>
        <w:jc w:val="both"/>
        <w:rPr>
          <w:rFonts w:ascii="Times New Roman" w:hAnsi="Times New Roman"/>
          <w:sz w:val="27"/>
        </w:rPr>
      </w:pPr>
    </w:p>
    <w:p w14:paraId="37000000">
      <w:pPr>
        <w:spacing w:after="0"/>
        <w:ind w:firstLine="709" w:left="0"/>
        <w:jc w:val="both"/>
        <w:rPr>
          <w:rFonts w:ascii="Times New Roman" w:hAnsi="Times New Roman"/>
          <w:sz w:val="27"/>
        </w:rPr>
      </w:pPr>
      <w:r>
        <w:rPr>
          <w:rFonts w:ascii="Times New Roman" w:hAnsi="Times New Roman"/>
          <w:b w:val="1"/>
          <w:sz w:val="27"/>
        </w:rPr>
        <w:t>The Russian party assumes the following expenses</w:t>
      </w:r>
      <w:r>
        <w:rPr>
          <w:rFonts w:ascii="Times New Roman" w:hAnsi="Times New Roman"/>
          <w:sz w:val="27"/>
        </w:rPr>
        <w:t>:</w:t>
      </w:r>
    </w:p>
    <w:p w14:paraId="38000000">
      <w:pPr>
        <w:spacing w:after="0"/>
        <w:ind w:firstLine="709" w:left="0"/>
        <w:jc w:val="both"/>
        <w:rPr>
          <w:rFonts w:ascii="Times New Roman" w:hAnsi="Times New Roman"/>
          <w:sz w:val="27"/>
        </w:rPr>
      </w:pPr>
      <w:r>
        <w:rPr>
          <w:rFonts w:ascii="Times New Roman" w:hAnsi="Times New Roman"/>
          <w:sz w:val="27"/>
        </w:rPr>
        <w:t xml:space="preserve">- </w:t>
      </w:r>
      <w:r>
        <w:rPr>
          <w:rFonts w:ascii="Times New Roman" w:hAnsi="Times New Roman"/>
          <w:b w:val="1"/>
          <w:sz w:val="27"/>
        </w:rPr>
        <w:t>service</w:t>
      </w:r>
      <w:r>
        <w:rPr>
          <w:rFonts w:ascii="Times New Roman" w:hAnsi="Times New Roman"/>
          <w:b w:val="1"/>
          <w:sz w:val="27"/>
        </w:rPr>
        <w:t xml:space="preserve"> in the Officials and Delegations Lounge</w:t>
      </w:r>
      <w:r>
        <w:rPr>
          <w:rFonts w:ascii="Times New Roman" w:hAnsi="Times New Roman"/>
          <w:sz w:val="27"/>
        </w:rPr>
        <w:t xml:space="preserve"> (ZOLD) of Moscow airports on arrival and departure for members of delegations of the Parliament/Chamber of Parliament/international parliamentary organization;</w:t>
      </w:r>
    </w:p>
    <w:p w14:paraId="39000000">
      <w:pPr>
        <w:spacing w:after="0"/>
        <w:ind w:firstLine="709" w:left="0"/>
        <w:jc w:val="both"/>
        <w:rPr>
          <w:rFonts w:ascii="Times New Roman" w:hAnsi="Times New Roman"/>
          <w:sz w:val="27"/>
        </w:rPr>
      </w:pPr>
      <w:r>
        <w:rPr>
          <w:rFonts w:ascii="Times New Roman" w:hAnsi="Times New Roman"/>
          <w:sz w:val="27"/>
        </w:rPr>
        <w:t xml:space="preserve">- </w:t>
      </w:r>
      <w:r>
        <w:rPr>
          <w:rFonts w:ascii="Times New Roman" w:hAnsi="Times New Roman"/>
          <w:b w:val="1"/>
          <w:sz w:val="27"/>
        </w:rPr>
        <w:t>transport support</w:t>
      </w:r>
      <w:r>
        <w:rPr>
          <w:rFonts w:ascii="Times New Roman" w:hAnsi="Times New Roman"/>
          <w:sz w:val="27"/>
        </w:rPr>
        <w:t xml:space="preserve"> upon arrival in Moscow and departure of delegations, as well as during the implementation of the event program;</w:t>
      </w:r>
    </w:p>
    <w:p w14:paraId="3A000000">
      <w:pPr>
        <w:spacing w:after="0"/>
        <w:ind w:firstLine="709" w:left="0"/>
        <w:jc w:val="both"/>
        <w:rPr>
          <w:rFonts w:ascii="Times New Roman" w:hAnsi="Times New Roman"/>
          <w:sz w:val="27"/>
        </w:rPr>
      </w:pPr>
      <w:r>
        <w:rPr>
          <w:rFonts w:ascii="Times New Roman" w:hAnsi="Times New Roman"/>
          <w:sz w:val="27"/>
        </w:rPr>
        <w:t xml:space="preserve">- </w:t>
      </w:r>
      <w:r>
        <w:rPr>
          <w:rFonts w:ascii="Times New Roman" w:hAnsi="Times New Roman"/>
          <w:b w:val="1"/>
          <w:sz w:val="27"/>
        </w:rPr>
        <w:t>accommodation</w:t>
      </w:r>
      <w:r>
        <w:rPr>
          <w:rFonts w:ascii="Times New Roman" w:hAnsi="Times New Roman"/>
          <w:sz w:val="27"/>
        </w:rPr>
        <w:t xml:space="preserve"> in a hotel in Moscow for the period from March 18 to March 21, 2023. </w:t>
      </w:r>
    </w:p>
    <w:p w14:paraId="3B000000">
      <w:pPr>
        <w:spacing w:after="0"/>
        <w:ind w:firstLine="709" w:left="0"/>
        <w:jc w:val="both"/>
        <w:rPr>
          <w:rFonts w:ascii="Times New Roman" w:hAnsi="Times New Roman"/>
          <w:sz w:val="27"/>
        </w:rPr>
      </w:pPr>
      <w:r>
        <w:rPr>
          <w:rFonts w:ascii="Times New Roman" w:hAnsi="Times New Roman"/>
          <w:b w:val="1"/>
          <w:sz w:val="27"/>
        </w:rPr>
        <w:t>Insurance:</w:t>
      </w:r>
      <w:r>
        <w:rPr>
          <w:rFonts w:ascii="Times New Roman" w:hAnsi="Times New Roman"/>
          <w:sz w:val="27"/>
        </w:rPr>
        <w:t xml:space="preserve"> Participants are recommended to have personal and medical insurance policies. </w:t>
      </w:r>
    </w:p>
    <w:p w14:paraId="3C000000">
      <w:pPr>
        <w:spacing w:after="0"/>
        <w:ind w:firstLine="709" w:left="0"/>
        <w:jc w:val="both"/>
        <w:rPr>
          <w:rFonts w:ascii="Times New Roman" w:hAnsi="Times New Roman"/>
          <w:sz w:val="27"/>
        </w:rPr>
      </w:pPr>
    </w:p>
    <w:p w14:paraId="3D000000">
      <w:pPr>
        <w:spacing w:after="0"/>
        <w:ind w:firstLine="709" w:left="0"/>
        <w:jc w:val="both"/>
        <w:rPr>
          <w:rFonts w:ascii="Times New Roman" w:hAnsi="Times New Roman"/>
          <w:sz w:val="27"/>
        </w:rPr>
      </w:pPr>
      <w:r>
        <w:rPr>
          <w:rFonts w:ascii="Times New Roman" w:hAnsi="Times New Roman"/>
          <w:b w:val="1"/>
          <w:sz w:val="27"/>
        </w:rPr>
        <w:t>Visas</w:t>
      </w:r>
      <w:r>
        <w:rPr>
          <w:rFonts w:ascii="Times New Roman" w:hAnsi="Times New Roman"/>
          <w:sz w:val="27"/>
        </w:rPr>
        <w:t xml:space="preserve"> are issued </w:t>
      </w:r>
      <w:r>
        <w:rPr>
          <w:rFonts w:ascii="Times New Roman" w:hAnsi="Times New Roman"/>
          <w:b w:val="1"/>
          <w:sz w:val="27"/>
        </w:rPr>
        <w:t>free of charge</w:t>
      </w:r>
      <w:r>
        <w:rPr>
          <w:rFonts w:ascii="Times New Roman" w:hAnsi="Times New Roman"/>
          <w:sz w:val="27"/>
        </w:rPr>
        <w:t xml:space="preserve"> in Russian foreign institutions upon presentation of a copy of the invitation addressed to the Speaker of the relevant parliament or an individual invitation, a completed registration form of the participant (attached) and a letter from the parliament (organization) confirming the inclusion of this person in the delegation (only for members of the delegation). </w:t>
      </w:r>
    </w:p>
    <w:p w14:paraId="3E000000">
      <w:pPr>
        <w:spacing w:after="0"/>
        <w:ind w:firstLine="709" w:left="0"/>
        <w:jc w:val="both"/>
        <w:rPr>
          <w:rFonts w:ascii="Times New Roman" w:hAnsi="Times New Roman"/>
          <w:sz w:val="27"/>
        </w:rPr>
      </w:pPr>
    </w:p>
    <w:p w14:paraId="3F000000">
      <w:pPr>
        <w:spacing w:after="0"/>
        <w:ind w:firstLine="709" w:left="0"/>
        <w:jc w:val="both"/>
        <w:rPr>
          <w:rFonts w:ascii="Times New Roman" w:hAnsi="Times New Roman"/>
          <w:color w:val="000000"/>
          <w:sz w:val="27"/>
          <w:u w:val="single"/>
        </w:rPr>
      </w:pPr>
      <w:r>
        <w:rPr>
          <w:rFonts w:ascii="Times New Roman" w:hAnsi="Times New Roman"/>
          <w:b w:val="1"/>
          <w:sz w:val="27"/>
        </w:rPr>
        <w:t>Registration</w:t>
      </w:r>
      <w:r>
        <w:rPr>
          <w:rFonts w:ascii="Times New Roman" w:hAnsi="Times New Roman"/>
          <w:sz w:val="27"/>
        </w:rPr>
        <w:t xml:space="preserve"> of Forum participants, as well as accompanying persons and translators, is carried out </w:t>
      </w:r>
      <w:r>
        <w:rPr>
          <w:rFonts w:ascii="Times New Roman" w:hAnsi="Times New Roman"/>
          <w:b w:val="1"/>
          <w:sz w:val="27"/>
        </w:rPr>
        <w:t>until March 1, 2023</w:t>
      </w:r>
      <w:r>
        <w:rPr>
          <w:rFonts w:ascii="Times New Roman" w:hAnsi="Times New Roman"/>
          <w:sz w:val="27"/>
        </w:rPr>
        <w:t xml:space="preserve"> by sending registration forms to the following email address: africa@duma.gov.ru.</w:t>
      </w:r>
    </w:p>
    <w:p w14:paraId="40000000">
      <w:pPr>
        <w:spacing w:after="0"/>
        <w:ind w:firstLine="709" w:left="0"/>
        <w:jc w:val="both"/>
        <w:rPr>
          <w:rFonts w:ascii="Times New Roman" w:hAnsi="Times New Roman"/>
          <w:sz w:val="27"/>
        </w:rPr>
      </w:pPr>
    </w:p>
    <w:p w14:paraId="41000000">
      <w:pPr>
        <w:spacing w:after="0"/>
        <w:ind w:firstLine="709" w:left="0"/>
        <w:jc w:val="both"/>
        <w:rPr>
          <w:rFonts w:ascii="Times New Roman" w:hAnsi="Times New Roman"/>
          <w:sz w:val="27"/>
        </w:rPr>
      </w:pPr>
      <w:r>
        <w:rPr>
          <w:rFonts w:ascii="Times New Roman" w:hAnsi="Times New Roman"/>
          <w:b w:val="1"/>
          <w:sz w:val="27"/>
        </w:rPr>
        <w:t>Information about the Forum</w:t>
      </w:r>
      <w:r>
        <w:rPr>
          <w:rFonts w:ascii="Times New Roman" w:hAnsi="Times New Roman"/>
          <w:sz w:val="27"/>
        </w:rPr>
        <w:t xml:space="preserve"> is available on the website of the State Duma (http://duma.g</w:t>
      </w:r>
      <w:r>
        <w:rPr>
          <w:rFonts w:ascii="Times New Roman" w:hAnsi="Times New Roman"/>
          <w:sz w:val="27"/>
        </w:rPr>
        <w:t>ov.ru/en/international</w:t>
      </w:r>
      <w:bookmarkStart w:id="1" w:name="_GoBack"/>
      <w:bookmarkEnd w:id="1"/>
      <w:r>
        <w:rPr>
          <w:rFonts w:ascii="Times New Roman" w:hAnsi="Times New Roman"/>
          <w:sz w:val="27"/>
        </w:rPr>
        <w:t>)</w:t>
      </w:r>
    </w:p>
    <w:sectPr>
      <w:headerReference r:id="rId1" w:type="first"/>
      <w:headerReference r:id="rId2" w:type="default"/>
      <w:pgSz w:h="16838" w:orient="portrait" w:w="11906"/>
      <w:pgMar w:bottom="993" w:footer="397" w:gutter="0" w:header="454" w:left="1418" w:right="851" w:top="1135"/>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ind/>
      <w:jc w:val="right"/>
      <w:rPr>
        <w:rFonts w:ascii="Times New Roman" w:hAnsi="Times New Roman"/>
      </w:rPr>
    </w:pP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2000000">
    <w:pPr>
      <w:pStyle w:val="Style_1"/>
      <w:ind/>
      <w:jc w:val="center"/>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pPr>
      <w:spacing w:after="200" w:line="276" w:lineRule="auto"/>
      <w:ind/>
    </w:pPr>
    <w:rPr>
      <w:sz w:val="22"/>
    </w:rPr>
  </w:style>
  <w:style w:default="1" w:styleId="Style_3_ch" w:type="character">
    <w:name w:val="Normal"/>
    <w:link w:val="Style_3"/>
    <w:rPr>
      <w:sz w:val="22"/>
    </w:rPr>
  </w:style>
  <w:style w:styleId="Style_1" w:type="paragraph">
    <w:name w:val="header"/>
    <w:basedOn w:val="Style_3"/>
    <w:link w:val="Style_1_ch"/>
    <w:pPr>
      <w:tabs>
        <w:tab w:leader="none" w:pos="4677" w:val="center"/>
        <w:tab w:leader="none" w:pos="9355" w:val="right"/>
      </w:tabs>
      <w:ind/>
    </w:pPr>
  </w:style>
  <w:style w:styleId="Style_1_ch" w:type="character">
    <w:name w:val="header"/>
    <w:basedOn w:val="Style_3_ch"/>
    <w:link w:val="Style_1"/>
  </w:style>
  <w:style w:styleId="Style_4" w:type="paragraph">
    <w:name w:val="endnote reference"/>
    <w:link w:val="Style_4_ch"/>
    <w:rPr>
      <w:vertAlign w:val="superscript"/>
    </w:rPr>
  </w:style>
  <w:style w:styleId="Style_4_ch" w:type="character">
    <w:name w:val="endnote reference"/>
    <w:link w:val="Style_4"/>
    <w:rPr>
      <w:vertAlign w:val="superscript"/>
    </w:rPr>
  </w:style>
  <w:style w:styleId="Style_5" w:type="paragraph">
    <w:name w:val="toc 2"/>
    <w:next w:val="Style_3"/>
    <w:link w:val="Style_5_ch"/>
    <w:uiPriority w:val="39"/>
    <w:pPr>
      <w:ind w:firstLine="0" w:left="200"/>
      <w:jc w:val="left"/>
    </w:pPr>
    <w:rPr>
      <w:rFonts w:ascii="XO Thames" w:hAnsi="XO Thames"/>
      <w:sz w:val="28"/>
    </w:rPr>
  </w:style>
  <w:style w:styleId="Style_5_ch" w:type="character">
    <w:name w:val="toc 2"/>
    <w:link w:val="Style_5"/>
    <w:rPr>
      <w:rFonts w:ascii="XO Thames" w:hAnsi="XO Thames"/>
      <w:sz w:val="28"/>
    </w:rPr>
  </w:style>
  <w:style w:styleId="Style_6" w:type="paragraph">
    <w:name w:val="toc 4"/>
    <w:next w:val="Style_3"/>
    <w:link w:val="Style_6_ch"/>
    <w:uiPriority w:val="39"/>
    <w:pPr>
      <w:ind w:firstLine="0" w:left="600"/>
      <w:jc w:val="left"/>
    </w:pPr>
    <w:rPr>
      <w:rFonts w:ascii="XO Thames" w:hAnsi="XO Thames"/>
      <w:sz w:val="28"/>
    </w:rPr>
  </w:style>
  <w:style w:styleId="Style_6_ch" w:type="character">
    <w:name w:val="toc 4"/>
    <w:link w:val="Style_6"/>
    <w:rPr>
      <w:rFonts w:ascii="XO Thames" w:hAnsi="XO Thames"/>
      <w:sz w:val="28"/>
    </w:rPr>
  </w:style>
  <w:style w:styleId="Style_7" w:type="paragraph">
    <w:name w:val="toc 6"/>
    <w:next w:val="Style_3"/>
    <w:link w:val="Style_7_ch"/>
    <w:uiPriority w:val="39"/>
    <w:pPr>
      <w:ind w:firstLine="0" w:left="1000"/>
      <w:jc w:val="left"/>
    </w:pPr>
    <w:rPr>
      <w:rFonts w:ascii="XO Thames" w:hAnsi="XO Thames"/>
      <w:sz w:val="28"/>
    </w:rPr>
  </w:style>
  <w:style w:styleId="Style_7_ch" w:type="character">
    <w:name w:val="toc 6"/>
    <w:link w:val="Style_7"/>
    <w:rPr>
      <w:rFonts w:ascii="XO Thames" w:hAnsi="XO Thames"/>
      <w:sz w:val="28"/>
    </w:rPr>
  </w:style>
  <w:style w:styleId="Style_8" w:type="paragraph">
    <w:name w:val="toc 7"/>
    <w:next w:val="Style_3"/>
    <w:link w:val="Style_8_ch"/>
    <w:uiPriority w:val="39"/>
    <w:pPr>
      <w:ind w:firstLine="0" w:left="1200"/>
      <w:jc w:val="left"/>
    </w:pPr>
    <w:rPr>
      <w:rFonts w:ascii="XO Thames" w:hAnsi="XO Thames"/>
      <w:sz w:val="28"/>
    </w:rPr>
  </w:style>
  <w:style w:styleId="Style_8_ch" w:type="character">
    <w:name w:val="toc 7"/>
    <w:link w:val="Style_8"/>
    <w:rPr>
      <w:rFonts w:ascii="XO Thames" w:hAnsi="XO Thames"/>
      <w:sz w:val="28"/>
    </w:rPr>
  </w:style>
  <w:style w:styleId="Style_9" w:type="paragraph">
    <w:name w:val="heading 3"/>
    <w:next w:val="Style_3"/>
    <w:link w:val="Style_9_ch"/>
    <w:uiPriority w:val="9"/>
    <w:qFormat/>
    <w:pPr>
      <w:spacing w:after="120" w:before="120"/>
      <w:ind/>
      <w:jc w:val="both"/>
      <w:outlineLvl w:val="2"/>
    </w:pPr>
    <w:rPr>
      <w:rFonts w:ascii="XO Thames" w:hAnsi="XO Thames"/>
      <w:b w:val="1"/>
      <w:sz w:val="26"/>
    </w:rPr>
  </w:style>
  <w:style w:styleId="Style_9_ch" w:type="character">
    <w:name w:val="heading 3"/>
    <w:link w:val="Style_9"/>
    <w:rPr>
      <w:rFonts w:ascii="XO Thames" w:hAnsi="XO Thames"/>
      <w:b w:val="1"/>
      <w:sz w:val="26"/>
    </w:rPr>
  </w:style>
  <w:style w:styleId="Style_10" w:type="paragraph">
    <w:name w:val="FollowedHyperlink"/>
    <w:link w:val="Style_10_ch"/>
    <w:rPr>
      <w:color w:val="800080"/>
      <w:u w:val="single"/>
    </w:rPr>
  </w:style>
  <w:style w:styleId="Style_10_ch" w:type="character">
    <w:name w:val="FollowedHyperlink"/>
    <w:link w:val="Style_10"/>
    <w:rPr>
      <w:color w:val="800080"/>
      <w:u w:val="single"/>
    </w:rPr>
  </w:style>
  <w:style w:styleId="Style_11" w:type="paragraph">
    <w:name w:val="toc 3"/>
    <w:next w:val="Style_3"/>
    <w:link w:val="Style_11_ch"/>
    <w:uiPriority w:val="39"/>
    <w:pPr>
      <w:ind w:firstLine="0" w:left="400"/>
      <w:jc w:val="left"/>
    </w:pPr>
    <w:rPr>
      <w:rFonts w:ascii="XO Thames" w:hAnsi="XO Thames"/>
      <w:sz w:val="28"/>
    </w:rPr>
  </w:style>
  <w:style w:styleId="Style_11_ch" w:type="character">
    <w:name w:val="toc 3"/>
    <w:link w:val="Style_11"/>
    <w:rPr>
      <w:rFonts w:ascii="XO Thames" w:hAnsi="XO Thames"/>
      <w:sz w:val="28"/>
    </w:rPr>
  </w:style>
  <w:style w:styleId="Style_12" w:type="paragraph">
    <w:name w:val="footnote reference"/>
    <w:link w:val="Style_12_ch"/>
    <w:rPr>
      <w:vertAlign w:val="superscript"/>
    </w:rPr>
  </w:style>
  <w:style w:styleId="Style_12_ch" w:type="character">
    <w:name w:val="footnote reference"/>
    <w:link w:val="Style_12"/>
    <w:rPr>
      <w:vertAlign w:val="superscript"/>
    </w:rPr>
  </w:style>
  <w:style w:styleId="Style_13" w:type="paragraph">
    <w:name w:val="endnote text"/>
    <w:basedOn w:val="Style_3"/>
    <w:link w:val="Style_13_ch"/>
    <w:rPr>
      <w:sz w:val="20"/>
    </w:rPr>
  </w:style>
  <w:style w:styleId="Style_13_ch" w:type="character">
    <w:name w:val="endnote text"/>
    <w:basedOn w:val="Style_3_ch"/>
    <w:link w:val="Style_13"/>
    <w:rPr>
      <w:sz w:val="20"/>
    </w:rPr>
  </w:style>
  <w:style w:styleId="Style_14" w:type="paragraph">
    <w:name w:val="heading 5"/>
    <w:next w:val="Style_3"/>
    <w:link w:val="Style_14_ch"/>
    <w:uiPriority w:val="9"/>
    <w:qFormat/>
    <w:pPr>
      <w:spacing w:after="120" w:before="120"/>
      <w:ind/>
      <w:jc w:val="both"/>
      <w:outlineLvl w:val="4"/>
    </w:pPr>
    <w:rPr>
      <w:rFonts w:ascii="XO Thames" w:hAnsi="XO Thames"/>
      <w:b w:val="1"/>
      <w:sz w:val="22"/>
    </w:rPr>
  </w:style>
  <w:style w:styleId="Style_14_ch" w:type="character">
    <w:name w:val="heading 5"/>
    <w:link w:val="Style_14"/>
    <w:rPr>
      <w:rFonts w:ascii="XO Thames" w:hAnsi="XO Thames"/>
      <w:b w:val="1"/>
      <w:sz w:val="22"/>
    </w:rPr>
  </w:style>
  <w:style w:styleId="Style_15" w:type="paragraph">
    <w:name w:val="heading 1"/>
    <w:next w:val="Style_3"/>
    <w:link w:val="Style_15_ch"/>
    <w:uiPriority w:val="9"/>
    <w:qFormat/>
    <w:pPr>
      <w:spacing w:after="120" w:before="120"/>
      <w:ind/>
      <w:jc w:val="both"/>
      <w:outlineLvl w:val="0"/>
    </w:pPr>
    <w:rPr>
      <w:rFonts w:ascii="XO Thames" w:hAnsi="XO Thames"/>
      <w:b w:val="1"/>
      <w:sz w:val="32"/>
    </w:rPr>
  </w:style>
  <w:style w:styleId="Style_15_ch" w:type="character">
    <w:name w:val="heading 1"/>
    <w:link w:val="Style_15"/>
    <w:rPr>
      <w:rFonts w:ascii="XO Thames" w:hAnsi="XO Thames"/>
      <w:b w:val="1"/>
      <w:sz w:val="32"/>
    </w:rPr>
  </w:style>
  <w:style w:styleId="Style_16" w:type="paragraph">
    <w:name w:val="Hyperlink"/>
    <w:link w:val="Style_16_ch"/>
    <w:rPr>
      <w:color w:val="0000FF"/>
      <w:u w:val="single"/>
    </w:rPr>
  </w:style>
  <w:style w:styleId="Style_16_ch" w:type="character">
    <w:name w:val="Hyperlink"/>
    <w:link w:val="Style_16"/>
    <w:rPr>
      <w:color w:val="0000FF"/>
      <w:u w:val="single"/>
    </w:rPr>
  </w:style>
  <w:style w:styleId="Style_17" w:type="paragraph">
    <w:name w:val="Footnote"/>
    <w:basedOn w:val="Style_3"/>
    <w:link w:val="Style_17_ch"/>
    <w:rPr>
      <w:sz w:val="20"/>
    </w:rPr>
  </w:style>
  <w:style w:styleId="Style_17_ch" w:type="character">
    <w:name w:val="Footnote"/>
    <w:basedOn w:val="Style_3_ch"/>
    <w:link w:val="Style_17"/>
    <w:rPr>
      <w:sz w:val="20"/>
    </w:rPr>
  </w:style>
  <w:style w:styleId="Style_18" w:type="paragraph">
    <w:name w:val="toc 1"/>
    <w:next w:val="Style_3"/>
    <w:link w:val="Style_18_ch"/>
    <w:uiPriority w:val="39"/>
    <w:pPr>
      <w:ind w:firstLine="0" w:left="0"/>
      <w:jc w:val="left"/>
    </w:pPr>
    <w:rPr>
      <w:rFonts w:ascii="XO Thames" w:hAnsi="XO Thames"/>
      <w:b w:val="1"/>
      <w:sz w:val="28"/>
    </w:rPr>
  </w:style>
  <w:style w:styleId="Style_18_ch" w:type="character">
    <w:name w:val="toc 1"/>
    <w:link w:val="Style_18"/>
    <w:rPr>
      <w:rFonts w:ascii="XO Thames" w:hAnsi="XO Thames"/>
      <w:b w:val="1"/>
      <w:sz w:val="28"/>
    </w:rPr>
  </w:style>
  <w:style w:styleId="Style_19" w:type="paragraph">
    <w:name w:val="Header and Footer"/>
    <w:link w:val="Style_19_ch"/>
    <w:pPr>
      <w:spacing w:line="240" w:lineRule="auto"/>
      <w:ind/>
      <w:jc w:val="both"/>
    </w:pPr>
    <w:rPr>
      <w:rFonts w:ascii="XO Thames" w:hAnsi="XO Thames"/>
      <w:sz w:val="20"/>
    </w:rPr>
  </w:style>
  <w:style w:styleId="Style_19_ch" w:type="character">
    <w:name w:val="Header and Footer"/>
    <w:link w:val="Style_19"/>
    <w:rPr>
      <w:rFonts w:ascii="XO Thames" w:hAnsi="XO Thames"/>
      <w:sz w:val="20"/>
    </w:rPr>
  </w:style>
  <w:style w:styleId="Style_20" w:type="paragraph">
    <w:name w:val="toc 9"/>
    <w:next w:val="Style_3"/>
    <w:link w:val="Style_20_ch"/>
    <w:uiPriority w:val="39"/>
    <w:pPr>
      <w:ind w:firstLine="0" w:left="1600"/>
      <w:jc w:val="left"/>
    </w:pPr>
    <w:rPr>
      <w:rFonts w:ascii="XO Thames" w:hAnsi="XO Thames"/>
      <w:sz w:val="28"/>
    </w:rPr>
  </w:style>
  <w:style w:styleId="Style_20_ch" w:type="character">
    <w:name w:val="toc 9"/>
    <w:link w:val="Style_20"/>
    <w:rPr>
      <w:rFonts w:ascii="XO Thames" w:hAnsi="XO Thames"/>
      <w:sz w:val="28"/>
    </w:rPr>
  </w:style>
  <w:style w:styleId="Style_21" w:type="paragraph">
    <w:name w:val="toc 8"/>
    <w:next w:val="Style_3"/>
    <w:link w:val="Style_21_ch"/>
    <w:uiPriority w:val="39"/>
    <w:pPr>
      <w:ind w:firstLine="0" w:left="1400"/>
      <w:jc w:val="left"/>
    </w:pPr>
    <w:rPr>
      <w:rFonts w:ascii="XO Thames" w:hAnsi="XO Thames"/>
      <w:sz w:val="28"/>
    </w:rPr>
  </w:style>
  <w:style w:styleId="Style_21_ch" w:type="character">
    <w:name w:val="toc 8"/>
    <w:link w:val="Style_21"/>
    <w:rPr>
      <w:rFonts w:ascii="XO Thames" w:hAnsi="XO Thames"/>
      <w:sz w:val="28"/>
    </w:rPr>
  </w:style>
  <w:style w:styleId="Style_22" w:type="paragraph">
    <w:name w:val="Balloon Text"/>
    <w:basedOn w:val="Style_3"/>
    <w:link w:val="Style_22_ch"/>
    <w:pPr>
      <w:spacing w:after="0" w:line="240" w:lineRule="auto"/>
      <w:ind/>
    </w:pPr>
    <w:rPr>
      <w:rFonts w:ascii="Tahoma" w:hAnsi="Tahoma"/>
      <w:sz w:val="16"/>
    </w:rPr>
  </w:style>
  <w:style w:styleId="Style_22_ch" w:type="character">
    <w:name w:val="Balloon Text"/>
    <w:basedOn w:val="Style_3_ch"/>
    <w:link w:val="Style_22"/>
    <w:rPr>
      <w:rFonts w:ascii="Tahoma" w:hAnsi="Tahoma"/>
      <w:sz w:val="16"/>
    </w:rPr>
  </w:style>
  <w:style w:styleId="Style_23" w:type="paragraph">
    <w:name w:val="toc 5"/>
    <w:next w:val="Style_3"/>
    <w:link w:val="Style_23_ch"/>
    <w:uiPriority w:val="39"/>
    <w:pPr>
      <w:ind w:firstLine="0" w:left="800"/>
      <w:jc w:val="left"/>
    </w:pPr>
    <w:rPr>
      <w:rFonts w:ascii="XO Thames" w:hAnsi="XO Thames"/>
      <w:sz w:val="28"/>
    </w:rPr>
  </w:style>
  <w:style w:styleId="Style_23_ch" w:type="character">
    <w:name w:val="toc 5"/>
    <w:link w:val="Style_23"/>
    <w:rPr>
      <w:rFonts w:ascii="XO Thames" w:hAnsi="XO Thames"/>
      <w:sz w:val="28"/>
    </w:rPr>
  </w:style>
  <w:style w:styleId="Style_24" w:type="paragraph">
    <w:name w:val="footer"/>
    <w:basedOn w:val="Style_3"/>
    <w:link w:val="Style_24_ch"/>
    <w:pPr>
      <w:tabs>
        <w:tab w:leader="none" w:pos="4677" w:val="center"/>
        <w:tab w:leader="none" w:pos="9355" w:val="right"/>
      </w:tabs>
      <w:ind/>
    </w:pPr>
  </w:style>
  <w:style w:styleId="Style_24_ch" w:type="character">
    <w:name w:val="footer"/>
    <w:basedOn w:val="Style_3_ch"/>
    <w:link w:val="Style_24"/>
  </w:style>
  <w:style w:styleId="Style_25" w:type="paragraph">
    <w:name w:val="Subtitle"/>
    <w:next w:val="Style_3"/>
    <w:link w:val="Style_25_ch"/>
    <w:uiPriority w:val="11"/>
    <w:qFormat/>
    <w:pPr>
      <w:ind/>
      <w:jc w:val="both"/>
    </w:pPr>
    <w:rPr>
      <w:rFonts w:ascii="XO Thames" w:hAnsi="XO Thames"/>
      <w:i w:val="1"/>
      <w:sz w:val="24"/>
    </w:rPr>
  </w:style>
  <w:style w:styleId="Style_25_ch" w:type="character">
    <w:name w:val="Subtitle"/>
    <w:link w:val="Style_25"/>
    <w:rPr>
      <w:rFonts w:ascii="XO Thames" w:hAnsi="XO Thames"/>
      <w:i w:val="1"/>
      <w:sz w:val="24"/>
    </w:rPr>
  </w:style>
  <w:style w:styleId="Style_26" w:type="paragraph">
    <w:name w:val="Default Paragraph Font"/>
    <w:link w:val="Style_26_ch"/>
  </w:style>
  <w:style w:styleId="Style_26_ch" w:type="character">
    <w:name w:val="Default Paragraph Font"/>
    <w:link w:val="Style_26"/>
  </w:style>
  <w:style w:styleId="Style_27" w:type="paragraph">
    <w:name w:val="Title"/>
    <w:next w:val="Style_3"/>
    <w:link w:val="Style_27_ch"/>
    <w:uiPriority w:val="10"/>
    <w:qFormat/>
    <w:pPr>
      <w:spacing w:after="567" w:before="567"/>
      <w:ind/>
      <w:jc w:val="center"/>
    </w:pPr>
    <w:rPr>
      <w:rFonts w:ascii="XO Thames" w:hAnsi="XO Thames"/>
      <w:b w:val="1"/>
      <w:caps w:val="1"/>
      <w:sz w:val="40"/>
    </w:rPr>
  </w:style>
  <w:style w:styleId="Style_27_ch" w:type="character">
    <w:name w:val="Title"/>
    <w:link w:val="Style_27"/>
    <w:rPr>
      <w:rFonts w:ascii="XO Thames" w:hAnsi="XO Thames"/>
      <w:b w:val="1"/>
      <w:caps w:val="1"/>
      <w:sz w:val="40"/>
    </w:rPr>
  </w:style>
  <w:style w:styleId="Style_28" w:type="paragraph">
    <w:name w:val="heading 4"/>
    <w:next w:val="Style_3"/>
    <w:link w:val="Style_28_ch"/>
    <w:uiPriority w:val="9"/>
    <w:qFormat/>
    <w:pPr>
      <w:spacing w:after="120" w:before="120"/>
      <w:ind/>
      <w:jc w:val="both"/>
      <w:outlineLvl w:val="3"/>
    </w:pPr>
    <w:rPr>
      <w:rFonts w:ascii="XO Thames" w:hAnsi="XO Thames"/>
      <w:b w:val="1"/>
      <w:sz w:val="24"/>
    </w:rPr>
  </w:style>
  <w:style w:styleId="Style_28_ch" w:type="character">
    <w:name w:val="heading 4"/>
    <w:link w:val="Style_28"/>
    <w:rPr>
      <w:rFonts w:ascii="XO Thames" w:hAnsi="XO Thames"/>
      <w:b w:val="1"/>
      <w:sz w:val="24"/>
    </w:rPr>
  </w:style>
  <w:style w:styleId="Style_29" w:type="paragraph">
    <w:name w:val="heading 2"/>
    <w:next w:val="Style_3"/>
    <w:link w:val="Style_29_ch"/>
    <w:uiPriority w:val="9"/>
    <w:qFormat/>
    <w:pPr>
      <w:spacing w:after="120" w:before="120"/>
      <w:ind/>
      <w:jc w:val="both"/>
      <w:outlineLvl w:val="1"/>
    </w:pPr>
    <w:rPr>
      <w:rFonts w:ascii="XO Thames" w:hAnsi="XO Thames"/>
      <w:b w:val="1"/>
      <w:sz w:val="28"/>
    </w:rPr>
  </w:style>
  <w:style w:styleId="Style_29_ch" w:type="character">
    <w:name w:val="heading 2"/>
    <w:link w:val="Style_29"/>
    <w:rPr>
      <w:rFonts w:ascii="XO Thames" w:hAnsi="XO Thames"/>
      <w:b w:val="1"/>
      <w:sz w:val="28"/>
    </w:rPr>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2023-02-15T08:11:31Z</dcterms:modified>
</cp:coreProperties>
</file>